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EC1F" w14:textId="77777777" w:rsidR="008F53F2" w:rsidRDefault="008F53F2" w:rsidP="008F53F2">
      <w:pPr>
        <w:tabs>
          <w:tab w:val="left" w:pos="240"/>
          <w:tab w:val="right" w:pos="10466"/>
        </w:tabs>
        <w:rPr>
          <w:rFonts w:ascii="Verdana" w:hAnsi="Verdana" w:cs="Arial"/>
          <w:sz w:val="24"/>
          <w:szCs w:val="24"/>
        </w:rPr>
      </w:pPr>
      <w:r>
        <w:rPr>
          <w:rFonts w:ascii="Verdana" w:hAnsi="Verdana" w:cs="Arial"/>
          <w:sz w:val="24"/>
          <w:szCs w:val="24"/>
        </w:rPr>
        <w:tab/>
      </w:r>
      <w:r w:rsidRPr="00222BA1">
        <w:rPr>
          <w:noProof/>
          <w:sz w:val="20"/>
          <w:szCs w:val="20"/>
          <w:lang w:eastAsia="it-IT"/>
        </w:rPr>
        <w:drawing>
          <wp:anchor distT="0" distB="0" distL="114300" distR="114300" simplePos="0" relativeHeight="251659264" behindDoc="0" locked="0" layoutInCell="1" allowOverlap="1" wp14:anchorId="5EE16005" wp14:editId="072D935C">
            <wp:simplePos x="0" y="0"/>
            <wp:positionH relativeFrom="column">
              <wp:posOffset>0</wp:posOffset>
            </wp:positionH>
            <wp:positionV relativeFrom="page">
              <wp:posOffset>800100</wp:posOffset>
            </wp:positionV>
            <wp:extent cx="1472400" cy="532800"/>
            <wp:effectExtent l="0" t="0" r="0" b="63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2400" cy="532800"/>
                    </a:xfrm>
                    <a:prstGeom prst="rect">
                      <a:avLst/>
                    </a:prstGeom>
                  </pic:spPr>
                </pic:pic>
              </a:graphicData>
            </a:graphic>
          </wp:anchor>
        </w:drawing>
      </w:r>
      <w:r>
        <w:rPr>
          <w:rFonts w:ascii="Verdana" w:hAnsi="Verdana" w:cs="Arial"/>
          <w:sz w:val="24"/>
          <w:szCs w:val="24"/>
        </w:rPr>
        <w:tab/>
      </w:r>
    </w:p>
    <w:p w14:paraId="47705241" w14:textId="77777777" w:rsidR="008F53F2" w:rsidRDefault="008F53F2" w:rsidP="008F53F2">
      <w:pPr>
        <w:tabs>
          <w:tab w:val="left" w:pos="240"/>
          <w:tab w:val="right" w:pos="10466"/>
        </w:tabs>
        <w:rPr>
          <w:rFonts w:ascii="Verdana" w:hAnsi="Verdana" w:cs="Arial"/>
          <w:sz w:val="24"/>
          <w:szCs w:val="24"/>
        </w:rPr>
      </w:pPr>
    </w:p>
    <w:p w14:paraId="3B105E28" w14:textId="77777777" w:rsidR="008F53F2" w:rsidRDefault="008F53F2" w:rsidP="008F53F2">
      <w:pPr>
        <w:tabs>
          <w:tab w:val="left" w:pos="240"/>
          <w:tab w:val="right" w:pos="10466"/>
        </w:tabs>
        <w:rPr>
          <w:rFonts w:ascii="Verdana" w:hAnsi="Verdana" w:cs="Arial"/>
          <w:sz w:val="24"/>
          <w:szCs w:val="24"/>
        </w:rPr>
      </w:pPr>
    </w:p>
    <w:p w14:paraId="7DF8F680" w14:textId="77777777" w:rsidR="008F53F2" w:rsidRDefault="008F53F2" w:rsidP="008F53F2">
      <w:pPr>
        <w:pStyle w:val="Intestazione"/>
        <w:tabs>
          <w:tab w:val="clear" w:pos="4819"/>
          <w:tab w:val="clear" w:pos="9638"/>
        </w:tabs>
        <w:rPr>
          <w:sz w:val="20"/>
          <w:szCs w:val="20"/>
          <w:lang w:eastAsia="it-IT"/>
        </w:rPr>
      </w:pPr>
      <w:r w:rsidRPr="00222BA1">
        <w:rPr>
          <w:rFonts w:ascii="Arial Black" w:hAnsi="Arial Black"/>
          <w:sz w:val="20"/>
          <w:szCs w:val="20"/>
        </w:rPr>
        <w:t>DELIBERAZIONE DELLA GIUNTA REGIONALE</w:t>
      </w:r>
      <w:r w:rsidRPr="00222BA1">
        <w:rPr>
          <w:sz w:val="20"/>
          <w:szCs w:val="20"/>
          <w:lang w:eastAsia="it-IT"/>
        </w:rPr>
        <w:t xml:space="preserve"> </w:t>
      </w:r>
    </w:p>
    <w:p w14:paraId="531581C3" w14:textId="77777777" w:rsidR="008F53F2" w:rsidRDefault="008F53F2" w:rsidP="008F53F2">
      <w:pPr>
        <w:tabs>
          <w:tab w:val="left" w:pos="240"/>
          <w:tab w:val="right" w:pos="10466"/>
        </w:tabs>
        <w:rPr>
          <w:rFonts w:ascii="Verdana" w:hAnsi="Verdana" w:cs="Arial"/>
          <w:sz w:val="24"/>
          <w:szCs w:val="24"/>
        </w:rPr>
      </w:pPr>
    </w:p>
    <w:p w14:paraId="7B1FFA04" w14:textId="77777777" w:rsidR="00277053" w:rsidRPr="00891C13" w:rsidRDefault="008F53F2" w:rsidP="008F53F2">
      <w:pPr>
        <w:tabs>
          <w:tab w:val="left" w:pos="240"/>
          <w:tab w:val="right" w:pos="10466"/>
        </w:tabs>
        <w:rPr>
          <w:rFonts w:ascii="Verdana" w:hAnsi="Verdana" w:cs="Arial"/>
          <w:sz w:val="24"/>
          <w:szCs w:val="24"/>
        </w:rPr>
      </w:pPr>
      <w:r>
        <w:rPr>
          <w:rFonts w:ascii="Verdana" w:hAnsi="Verdana" w:cs="Arial"/>
          <w:sz w:val="24"/>
          <w:szCs w:val="24"/>
        </w:rPr>
        <w:tab/>
      </w:r>
      <w:r>
        <w:rPr>
          <w:rFonts w:ascii="Verdana" w:hAnsi="Verdana" w:cs="Arial"/>
          <w:sz w:val="24"/>
          <w:szCs w:val="24"/>
        </w:rPr>
        <w:tab/>
      </w:r>
      <w:r w:rsidR="00D036F8" w:rsidRPr="00891C13">
        <w:rPr>
          <w:rFonts w:ascii="Verdana" w:hAnsi="Verdana" w:cs="Arial"/>
          <w:sz w:val="24"/>
          <w:szCs w:val="24"/>
        </w:rPr>
        <w:t xml:space="preserve">ALLEGATO - 1 </w:t>
      </w:r>
    </w:p>
    <w:p w14:paraId="14C7660A" w14:textId="77777777" w:rsidR="00D036F8" w:rsidRPr="00891C13" w:rsidRDefault="00D036F8" w:rsidP="00D036F8">
      <w:pPr>
        <w:jc w:val="both"/>
        <w:rPr>
          <w:rFonts w:ascii="Verdana" w:hAnsi="Verdana" w:cs="Arial"/>
          <w:b/>
          <w:bCs/>
          <w:sz w:val="24"/>
          <w:szCs w:val="24"/>
        </w:rPr>
      </w:pPr>
    </w:p>
    <w:p w14:paraId="40A24767" w14:textId="77777777" w:rsidR="00D036F8" w:rsidRPr="00891C13" w:rsidRDefault="00D036F8" w:rsidP="00D036F8">
      <w:pPr>
        <w:jc w:val="both"/>
        <w:rPr>
          <w:rFonts w:ascii="Verdana" w:hAnsi="Verdana" w:cs="Arial"/>
          <w:b/>
          <w:bCs/>
          <w:sz w:val="24"/>
          <w:szCs w:val="24"/>
        </w:rPr>
      </w:pPr>
      <w:r w:rsidRPr="00891C13">
        <w:rPr>
          <w:rFonts w:ascii="Verdana" w:hAnsi="Verdana" w:cs="Arial"/>
          <w:b/>
          <w:bCs/>
          <w:sz w:val="24"/>
          <w:szCs w:val="24"/>
        </w:rPr>
        <w:t xml:space="preserve">Esercizio delle deroghe previste dalla Direttiva 2009/147/CE - prelievo di cui all’Art. 19 bis Legge n. 157/1992 </w:t>
      </w:r>
    </w:p>
    <w:p w14:paraId="2C9A15FB" w14:textId="77777777" w:rsidR="00D036F8" w:rsidRPr="00891C13" w:rsidRDefault="00D036F8" w:rsidP="00D036F8">
      <w:pPr>
        <w:pStyle w:val="Default"/>
        <w:jc w:val="both"/>
        <w:rPr>
          <w:rFonts w:ascii="Verdana" w:hAnsi="Verdana" w:cs="Arial"/>
        </w:rPr>
      </w:pPr>
      <w:r w:rsidRPr="00891C13">
        <w:rPr>
          <w:rFonts w:ascii="Verdana" w:hAnsi="Verdana" w:cs="Arial"/>
          <w:b/>
          <w:bCs/>
        </w:rPr>
        <w:t xml:space="preserve">SPECIE: </w:t>
      </w:r>
      <w:r w:rsidRPr="00891C13">
        <w:rPr>
          <w:rFonts w:ascii="Verdana" w:hAnsi="Verdana" w:cs="Arial"/>
        </w:rPr>
        <w:t>Storno (</w:t>
      </w:r>
      <w:r w:rsidRPr="00891C13">
        <w:rPr>
          <w:rFonts w:ascii="Verdana" w:hAnsi="Verdana" w:cs="Arial"/>
          <w:i/>
          <w:iCs/>
        </w:rPr>
        <w:t>Sturnus vulgaris</w:t>
      </w:r>
      <w:r w:rsidRPr="00891C13">
        <w:rPr>
          <w:rFonts w:ascii="Verdana" w:hAnsi="Verdana" w:cs="Arial"/>
        </w:rPr>
        <w:t>)</w:t>
      </w:r>
    </w:p>
    <w:p w14:paraId="2E4A16AD" w14:textId="77777777" w:rsidR="00D036F8" w:rsidRPr="00891C13" w:rsidRDefault="00D036F8" w:rsidP="00D036F8">
      <w:pPr>
        <w:pStyle w:val="Default"/>
        <w:jc w:val="both"/>
        <w:rPr>
          <w:rFonts w:ascii="Verdana" w:hAnsi="Verdana" w:cs="Arial"/>
        </w:rPr>
      </w:pPr>
      <w:r w:rsidRPr="00891C13">
        <w:rPr>
          <w:rFonts w:ascii="Verdana" w:hAnsi="Verdana" w:cs="Arial"/>
        </w:rPr>
        <w:t xml:space="preserve"> </w:t>
      </w:r>
    </w:p>
    <w:p w14:paraId="6B54B22D" w14:textId="77777777" w:rsidR="00D036F8" w:rsidRPr="00891C13" w:rsidRDefault="00D036F8" w:rsidP="00D036F8">
      <w:pPr>
        <w:pStyle w:val="Default"/>
        <w:jc w:val="both"/>
        <w:rPr>
          <w:rFonts w:ascii="Verdana" w:hAnsi="Verdana" w:cs="Arial"/>
        </w:rPr>
      </w:pPr>
      <w:r w:rsidRPr="00891C13">
        <w:rPr>
          <w:rFonts w:ascii="Verdana" w:hAnsi="Verdana" w:cs="Arial"/>
          <w:b/>
          <w:bCs/>
        </w:rPr>
        <w:t xml:space="preserve">STAGIONE VENATORIA: </w:t>
      </w:r>
      <w:r w:rsidRPr="00891C13">
        <w:rPr>
          <w:rFonts w:ascii="Verdana" w:hAnsi="Verdana" w:cs="Arial"/>
        </w:rPr>
        <w:t xml:space="preserve">2021-2022 </w:t>
      </w:r>
    </w:p>
    <w:p w14:paraId="2B44658E" w14:textId="77777777" w:rsidR="00D036F8" w:rsidRPr="00891C13" w:rsidRDefault="00D036F8" w:rsidP="00D036F8">
      <w:pPr>
        <w:pStyle w:val="Default"/>
        <w:jc w:val="both"/>
        <w:rPr>
          <w:rFonts w:ascii="Verdana" w:hAnsi="Verdana" w:cs="Arial"/>
        </w:rPr>
      </w:pPr>
    </w:p>
    <w:p w14:paraId="79F8C024" w14:textId="77777777" w:rsidR="00D036F8" w:rsidRPr="00891C13" w:rsidRDefault="00D036F8" w:rsidP="00D036F8">
      <w:pPr>
        <w:pStyle w:val="Default"/>
        <w:jc w:val="both"/>
        <w:rPr>
          <w:rFonts w:ascii="Verdana" w:hAnsi="Verdana" w:cs="Arial"/>
        </w:rPr>
      </w:pPr>
      <w:r w:rsidRPr="00891C13">
        <w:rPr>
          <w:rFonts w:ascii="Verdana" w:hAnsi="Verdana" w:cs="Arial"/>
          <w:b/>
          <w:bCs/>
        </w:rPr>
        <w:t xml:space="preserve">MOTIVAZIONE DELLA DEROGA: </w:t>
      </w:r>
      <w:r w:rsidRPr="00891C13">
        <w:rPr>
          <w:rFonts w:ascii="Verdana" w:hAnsi="Verdana" w:cs="Arial"/>
        </w:rPr>
        <w:t xml:space="preserve">per prevenire gravi danni e tutelare la specificità delle coltivazioni regionali (vigneti in frutto, frutteti </w:t>
      </w:r>
      <w:r w:rsidR="00A61AA9" w:rsidRPr="00891C13">
        <w:rPr>
          <w:rFonts w:ascii="Verdana" w:hAnsi="Verdana" w:cs="Arial"/>
        </w:rPr>
        <w:t>con frutto pendente</w:t>
      </w:r>
      <w:r w:rsidRPr="00891C13">
        <w:rPr>
          <w:rFonts w:ascii="Verdana" w:hAnsi="Verdana" w:cs="Arial"/>
        </w:rPr>
        <w:t xml:space="preserve">, uliveti). </w:t>
      </w:r>
    </w:p>
    <w:p w14:paraId="56F010D3" w14:textId="77777777" w:rsidR="00D036F8" w:rsidRPr="00891C13" w:rsidRDefault="00D036F8" w:rsidP="00D036F8">
      <w:pPr>
        <w:pStyle w:val="Default"/>
        <w:jc w:val="both"/>
        <w:rPr>
          <w:rFonts w:ascii="Verdana" w:hAnsi="Verdana" w:cs="Arial"/>
        </w:rPr>
      </w:pPr>
    </w:p>
    <w:p w14:paraId="52C25048" w14:textId="77777777" w:rsidR="00D036F8" w:rsidRPr="00891C13" w:rsidRDefault="00D036F8" w:rsidP="00D036F8">
      <w:pPr>
        <w:pStyle w:val="Default"/>
        <w:jc w:val="both"/>
        <w:rPr>
          <w:rFonts w:ascii="Verdana" w:hAnsi="Verdana" w:cs="Arial"/>
        </w:rPr>
      </w:pPr>
      <w:r w:rsidRPr="00891C13">
        <w:rPr>
          <w:rFonts w:ascii="Verdana" w:hAnsi="Verdana" w:cs="Arial"/>
          <w:b/>
          <w:bCs/>
        </w:rPr>
        <w:t xml:space="preserve">MEZZI, IMPIANTI O METODI DI CATTURA O DI UCCISIONE AUTORIZZATI: </w:t>
      </w:r>
      <w:r w:rsidRPr="00891C13">
        <w:rPr>
          <w:rFonts w:ascii="Verdana" w:hAnsi="Verdana" w:cs="Arial"/>
        </w:rPr>
        <w:t xml:space="preserve">l’uso dei mezzi di cui alla Legge n. 157/1992, art. 13, comma 1, utilizzando preferibilmente munizioni atossiche. Non è ammesso l’uso di richiami vivi della specie. </w:t>
      </w:r>
    </w:p>
    <w:p w14:paraId="038ECE00" w14:textId="77777777" w:rsidR="00A61AA9" w:rsidRPr="00891C13" w:rsidRDefault="00A61AA9" w:rsidP="00D036F8">
      <w:pPr>
        <w:pStyle w:val="Default"/>
        <w:jc w:val="both"/>
        <w:rPr>
          <w:rFonts w:ascii="Verdana" w:hAnsi="Verdana" w:cs="Arial"/>
        </w:rPr>
      </w:pPr>
    </w:p>
    <w:p w14:paraId="1881826F" w14:textId="77777777" w:rsidR="00A61AA9" w:rsidRPr="00891C13" w:rsidRDefault="00A61AA9" w:rsidP="00A61AA9">
      <w:pPr>
        <w:pStyle w:val="Default"/>
        <w:jc w:val="both"/>
        <w:rPr>
          <w:rFonts w:ascii="Verdana" w:hAnsi="Verdana" w:cs="Arial"/>
        </w:rPr>
      </w:pPr>
      <w:r w:rsidRPr="00891C13">
        <w:rPr>
          <w:rFonts w:ascii="Verdana" w:hAnsi="Verdana" w:cs="Arial"/>
          <w:b/>
        </w:rPr>
        <w:t>SOGGETTI AUTORIZZATI AL PRELIEVO</w:t>
      </w:r>
      <w:r w:rsidRPr="00891C13">
        <w:rPr>
          <w:rFonts w:ascii="Verdana" w:hAnsi="Verdana" w:cs="Arial"/>
        </w:rPr>
        <w:t>: esclusivamente i cacciatori che faranno specifica richiesta di accesso al prelievo in deroga dello Storno per il 2021 al Comune di residenza utilizzando apposito modello predisposto dalla Regione Marche. I soggetti autorizzati al prelievo devono intendersi esclusivamente i cacciatori iscritti all’Ambito di residenza anagrafica.</w:t>
      </w:r>
    </w:p>
    <w:p w14:paraId="3B75AB26" w14:textId="77777777" w:rsidR="00A61AA9" w:rsidRPr="00891C13" w:rsidRDefault="00A61AA9" w:rsidP="00A61AA9">
      <w:pPr>
        <w:pStyle w:val="Default"/>
        <w:jc w:val="both"/>
        <w:rPr>
          <w:rFonts w:ascii="Verdana" w:hAnsi="Verdana" w:cs="Arial"/>
        </w:rPr>
      </w:pPr>
    </w:p>
    <w:p w14:paraId="2C33ADF1" w14:textId="77777777" w:rsidR="00A61AA9" w:rsidRPr="0028137C" w:rsidRDefault="00A61AA9" w:rsidP="00A61AA9">
      <w:pPr>
        <w:pStyle w:val="Default"/>
        <w:jc w:val="both"/>
        <w:rPr>
          <w:rFonts w:ascii="Verdana" w:hAnsi="Verdana" w:cs="Arial"/>
          <w:b/>
        </w:rPr>
      </w:pPr>
      <w:r w:rsidRPr="00891C13">
        <w:rPr>
          <w:rFonts w:ascii="Verdana" w:hAnsi="Verdana" w:cs="Arial"/>
          <w:b/>
        </w:rPr>
        <w:t xml:space="preserve">MODALITÀ E LUOGHI DI PRELIEVO: </w:t>
      </w:r>
      <w:r w:rsidRPr="0028137C">
        <w:rPr>
          <w:rFonts w:ascii="Verdana" w:hAnsi="Verdana" w:cs="Arial"/>
        </w:rPr>
        <w:t>i</w:t>
      </w:r>
      <w:r w:rsidRPr="00891C13">
        <w:rPr>
          <w:rFonts w:ascii="Verdana" w:hAnsi="Verdana" w:cs="Arial"/>
        </w:rPr>
        <w:t>l prelievo si realizzerà esclusivamente nel territorio a caccia programmata ricadente all’interno dei comuni</w:t>
      </w:r>
      <w:r w:rsidRPr="00891C13">
        <w:rPr>
          <w:rFonts w:ascii="Verdana" w:hAnsi="Verdana" w:cs="Arial"/>
          <w:b/>
        </w:rPr>
        <w:t xml:space="preserve"> </w:t>
      </w:r>
      <w:r w:rsidRPr="00891C13">
        <w:rPr>
          <w:rFonts w:ascii="Verdana" w:hAnsi="Verdana" w:cs="Arial"/>
        </w:rPr>
        <w:t>marchigiani che almeno in uno degli ultimi cinque anni sono stati interessati da danni alle coltivazioni</w:t>
      </w:r>
      <w:r w:rsidR="0028137C">
        <w:rPr>
          <w:rFonts w:ascii="Verdana" w:hAnsi="Verdana" w:cs="Arial"/>
          <w:b/>
        </w:rPr>
        <w:t xml:space="preserve"> </w:t>
      </w:r>
      <w:r w:rsidRPr="00891C13">
        <w:rPr>
          <w:rFonts w:ascii="Verdana" w:hAnsi="Verdana" w:cs="Arial"/>
        </w:rPr>
        <w:t xml:space="preserve">agricole </w:t>
      </w:r>
      <w:r w:rsidR="0028137C">
        <w:rPr>
          <w:rFonts w:ascii="Verdana" w:hAnsi="Verdana" w:cs="Arial"/>
        </w:rPr>
        <w:t xml:space="preserve">da parte dello Storno </w:t>
      </w:r>
      <w:r w:rsidRPr="00891C13">
        <w:rPr>
          <w:rFonts w:ascii="Verdana" w:hAnsi="Verdana" w:cs="Arial"/>
        </w:rPr>
        <w:t>superiori a € 100,00/anno. I comuni interessati al prelievo in deroga dello Storno nella stagione venatoria 2021-2022 sono di seguito individuati per provincia:</w:t>
      </w:r>
    </w:p>
    <w:p w14:paraId="55A4C7EC" w14:textId="77777777" w:rsidR="00E147B9" w:rsidRPr="00E147B9" w:rsidRDefault="00A61AA9" w:rsidP="00E147B9">
      <w:pPr>
        <w:pStyle w:val="Default"/>
        <w:numPr>
          <w:ilvl w:val="0"/>
          <w:numId w:val="5"/>
        </w:numPr>
        <w:jc w:val="both"/>
        <w:rPr>
          <w:rFonts w:ascii="Verdana" w:hAnsi="Verdana" w:cs="Arial"/>
        </w:rPr>
      </w:pPr>
      <w:r w:rsidRPr="00E147B9">
        <w:rPr>
          <w:rFonts w:ascii="Verdana" w:hAnsi="Verdana" w:cs="Arial"/>
          <w:b/>
        </w:rPr>
        <w:t>Provincia di Pesaro e Urbino:</w:t>
      </w:r>
      <w:r w:rsidRPr="00891C13">
        <w:rPr>
          <w:rFonts w:ascii="Verdana" w:hAnsi="Verdana" w:cs="Arial"/>
        </w:rPr>
        <w:t xml:space="preserve"> </w:t>
      </w:r>
      <w:r w:rsidR="00E147B9" w:rsidRPr="00E147B9">
        <w:rPr>
          <w:rFonts w:ascii="Verdana" w:hAnsi="Verdana" w:cs="Arial"/>
        </w:rPr>
        <w:t xml:space="preserve">Cartoceto, Colli al Metauro,, Fano, Fratte Rosa, Gradara, Isola del Piano, Mombaroccio, Mondolfo, Monte Porzio, Montelabbate, Pesaro, Petriano, San Costanzo, San Lorenzo in Campo, Sant'Ippolito, Serra Sant'Abbondio, Tavullia, Terre </w:t>
      </w:r>
      <w:proofErr w:type="spellStart"/>
      <w:r w:rsidR="00E147B9" w:rsidRPr="00E147B9">
        <w:rPr>
          <w:rFonts w:ascii="Verdana" w:hAnsi="Verdana" w:cs="Arial"/>
        </w:rPr>
        <w:t>Roveresche</w:t>
      </w:r>
      <w:proofErr w:type="spellEnd"/>
      <w:r w:rsidR="00E147B9" w:rsidRPr="00E147B9">
        <w:rPr>
          <w:rFonts w:ascii="Verdana" w:hAnsi="Verdana" w:cs="Arial"/>
        </w:rPr>
        <w:t xml:space="preserve">, Urbino, </w:t>
      </w:r>
      <w:proofErr w:type="spellStart"/>
      <w:r w:rsidR="00E147B9" w:rsidRPr="00E147B9">
        <w:rPr>
          <w:rFonts w:ascii="Verdana" w:hAnsi="Verdana" w:cs="Arial"/>
        </w:rPr>
        <w:t>Vallefoglia</w:t>
      </w:r>
      <w:proofErr w:type="spellEnd"/>
      <w:r w:rsidR="00E147B9">
        <w:rPr>
          <w:rFonts w:ascii="Verdana" w:hAnsi="Verdana" w:cs="Arial"/>
        </w:rPr>
        <w:t>.</w:t>
      </w:r>
    </w:p>
    <w:p w14:paraId="2D968C9E" w14:textId="77777777" w:rsidR="00E147B9" w:rsidRDefault="00A61AA9" w:rsidP="00E147B9">
      <w:pPr>
        <w:pStyle w:val="Default"/>
        <w:numPr>
          <w:ilvl w:val="0"/>
          <w:numId w:val="5"/>
        </w:numPr>
        <w:jc w:val="both"/>
        <w:rPr>
          <w:rFonts w:ascii="Verdana" w:hAnsi="Verdana" w:cs="Arial"/>
        </w:rPr>
      </w:pPr>
      <w:r w:rsidRPr="00E147B9">
        <w:rPr>
          <w:rFonts w:ascii="Verdana" w:hAnsi="Verdana" w:cs="Arial"/>
          <w:b/>
        </w:rPr>
        <w:t>Provincia di Ancona:</w:t>
      </w:r>
      <w:r w:rsidR="00E147B9" w:rsidRPr="00E147B9">
        <w:rPr>
          <w:rFonts w:ascii="Verdana" w:hAnsi="Verdana" w:cs="Arial"/>
        </w:rPr>
        <w:t xml:space="preserve"> Ancona, Belvedere Ostrense, Castelfidardo, Castelleone di Suasa, Corinaldo, Falconara Marittima, Filottrano, Jesi, Loreto, Mergo, Monsano, Montecarotto, Montemarciano, Offagna, Osimo, Ostra, Ostra Vetere, Poggio San Marcello, Polverigi, Rosora, Senigallia, Serra San Quirico, Sirolo, </w:t>
      </w:r>
      <w:proofErr w:type="spellStart"/>
      <w:r w:rsidR="00E147B9" w:rsidRPr="00E147B9">
        <w:rPr>
          <w:rFonts w:ascii="Verdana" w:hAnsi="Verdana" w:cs="Arial"/>
        </w:rPr>
        <w:t>Trecastelli</w:t>
      </w:r>
      <w:proofErr w:type="spellEnd"/>
      <w:r w:rsidR="00E147B9">
        <w:rPr>
          <w:rFonts w:ascii="Verdana" w:hAnsi="Verdana" w:cs="Arial"/>
        </w:rPr>
        <w:t>.</w:t>
      </w:r>
    </w:p>
    <w:p w14:paraId="039D41C0" w14:textId="77777777" w:rsidR="00E147B9" w:rsidRDefault="00A61AA9" w:rsidP="00A61AA9">
      <w:pPr>
        <w:pStyle w:val="Default"/>
        <w:numPr>
          <w:ilvl w:val="0"/>
          <w:numId w:val="5"/>
        </w:numPr>
        <w:jc w:val="both"/>
        <w:rPr>
          <w:rFonts w:ascii="Verdana" w:hAnsi="Verdana" w:cs="Arial"/>
        </w:rPr>
      </w:pPr>
      <w:r w:rsidRPr="00E147B9">
        <w:rPr>
          <w:rFonts w:ascii="Verdana" w:hAnsi="Verdana" w:cs="Arial"/>
          <w:b/>
        </w:rPr>
        <w:t>Provincia di Macerata:</w:t>
      </w:r>
      <w:r w:rsidR="00E147B9" w:rsidRPr="00E147B9">
        <w:rPr>
          <w:rFonts w:ascii="Verdana" w:hAnsi="Verdana" w:cs="Arial"/>
        </w:rPr>
        <w:t xml:space="preserve"> Apiro, Appignano, Belforte del Chienti, Camerino, Cingoli, Civitanova Marche, Colmurano, Corridonia, Fiuminata, Gagliole, Loro Piceno, Macerata, Matelica, Monte San Martino, Montecassiano, Montecosaro, Montefano, Montelupone, Morrovalle, Penna San Giovanni, Petriolo, Pollenza, </w:t>
      </w:r>
      <w:r w:rsidR="00E147B9" w:rsidRPr="00E147B9">
        <w:rPr>
          <w:rFonts w:ascii="Verdana" w:hAnsi="Verdana" w:cs="Arial"/>
        </w:rPr>
        <w:lastRenderedPageBreak/>
        <w:t>Porto Recanati, Potenza Picena, Recanati, San Ginesio, San Severino Marche, Tolentino, Treia</w:t>
      </w:r>
      <w:r w:rsidR="00E147B9">
        <w:rPr>
          <w:rFonts w:ascii="Verdana" w:hAnsi="Verdana" w:cs="Arial"/>
        </w:rPr>
        <w:t>.</w:t>
      </w:r>
    </w:p>
    <w:p w14:paraId="42F006A4" w14:textId="77777777" w:rsidR="00E147B9" w:rsidRDefault="00A61AA9" w:rsidP="00E147B9">
      <w:pPr>
        <w:pStyle w:val="Default"/>
        <w:numPr>
          <w:ilvl w:val="0"/>
          <w:numId w:val="5"/>
        </w:numPr>
        <w:jc w:val="both"/>
        <w:rPr>
          <w:rFonts w:ascii="Verdana" w:hAnsi="Verdana" w:cs="Arial"/>
        </w:rPr>
      </w:pPr>
      <w:r w:rsidRPr="00E147B9">
        <w:rPr>
          <w:rFonts w:ascii="Verdana" w:hAnsi="Verdana" w:cs="Arial"/>
          <w:b/>
        </w:rPr>
        <w:t>Provincia di Fermo:</w:t>
      </w:r>
      <w:r w:rsidR="00E147B9" w:rsidRPr="00E147B9">
        <w:rPr>
          <w:rFonts w:ascii="Verdana" w:hAnsi="Verdana" w:cs="Arial"/>
        </w:rPr>
        <w:t xml:space="preserve"> Altidona, Campofilone, Fermo, Monte Rinaldo, Montelparo, Ortezzano, Pedaso, Porto Sant'Elpidio, Sant'Elpidio a Mare.</w:t>
      </w:r>
    </w:p>
    <w:p w14:paraId="0D3B9BA5" w14:textId="77777777" w:rsidR="00E147B9" w:rsidRPr="00E147B9" w:rsidRDefault="00A61AA9" w:rsidP="00E147B9">
      <w:pPr>
        <w:pStyle w:val="Default"/>
        <w:numPr>
          <w:ilvl w:val="0"/>
          <w:numId w:val="5"/>
        </w:numPr>
        <w:jc w:val="both"/>
        <w:rPr>
          <w:rFonts w:ascii="Verdana" w:hAnsi="Verdana" w:cs="Arial"/>
        </w:rPr>
      </w:pPr>
      <w:r w:rsidRPr="00E147B9">
        <w:rPr>
          <w:rFonts w:ascii="Verdana" w:hAnsi="Verdana" w:cs="Arial"/>
          <w:b/>
        </w:rPr>
        <w:t>Provincia di Ascoli Piceno:</w:t>
      </w:r>
      <w:r w:rsidR="00E147B9" w:rsidRPr="00E147B9">
        <w:rPr>
          <w:rFonts w:ascii="Verdana" w:hAnsi="Verdana" w:cs="Arial"/>
        </w:rPr>
        <w:t xml:space="preserve"> Acquasanta Terme, Castel di Lama, Monteprandone, Offida, Venarotta.</w:t>
      </w:r>
    </w:p>
    <w:p w14:paraId="42CEC928" w14:textId="77777777" w:rsidR="00D036F8" w:rsidRPr="00891C13" w:rsidRDefault="00D036F8" w:rsidP="00D036F8">
      <w:pPr>
        <w:pStyle w:val="Default"/>
        <w:jc w:val="both"/>
        <w:rPr>
          <w:rFonts w:ascii="Verdana" w:hAnsi="Verdana" w:cs="Arial"/>
        </w:rPr>
      </w:pPr>
    </w:p>
    <w:p w14:paraId="1207D090" w14:textId="77777777" w:rsidR="00D036F8" w:rsidRPr="00B71E7C" w:rsidRDefault="00D036F8" w:rsidP="00B71E7C">
      <w:pPr>
        <w:pStyle w:val="Default"/>
        <w:jc w:val="both"/>
        <w:rPr>
          <w:rFonts w:ascii="Verdana" w:hAnsi="Verdana" w:cs="Arial"/>
          <w:b/>
          <w:bCs/>
        </w:rPr>
      </w:pPr>
      <w:r w:rsidRPr="00891C13">
        <w:rPr>
          <w:rFonts w:ascii="Verdana" w:hAnsi="Verdana" w:cs="Arial"/>
          <w:b/>
          <w:bCs/>
        </w:rPr>
        <w:t xml:space="preserve">PERIODO DI APPLICAZIONE: </w:t>
      </w:r>
      <w:r w:rsidRPr="00891C13">
        <w:rPr>
          <w:rFonts w:ascii="Verdana" w:hAnsi="Verdana" w:cs="Arial"/>
          <w:bCs/>
        </w:rPr>
        <w:t>nei giorni di apertura anticipata della caccia previsti dal calendario venatorio regionale 2021-2022 e per 3 giorni</w:t>
      </w:r>
      <w:r w:rsidRPr="00891C13">
        <w:rPr>
          <w:rFonts w:ascii="Verdana" w:hAnsi="Verdana" w:cs="Arial"/>
          <w:b/>
          <w:bCs/>
        </w:rPr>
        <w:t xml:space="preserve"> </w:t>
      </w:r>
      <w:r w:rsidRPr="00891C13">
        <w:rPr>
          <w:rFonts w:ascii="Verdana" w:hAnsi="Verdana" w:cs="Arial"/>
          <w:bCs/>
        </w:rPr>
        <w:t xml:space="preserve">settimanali nel periodo compreso tra la terza domenica di settembre e il </w:t>
      </w:r>
      <w:r w:rsidR="00861599" w:rsidRPr="00891C13">
        <w:rPr>
          <w:rFonts w:ascii="Verdana" w:hAnsi="Verdana" w:cs="Arial"/>
          <w:bCs/>
        </w:rPr>
        <w:t>29</w:t>
      </w:r>
      <w:r w:rsidRPr="00891C13">
        <w:rPr>
          <w:rFonts w:ascii="Verdana" w:hAnsi="Verdana" w:cs="Arial"/>
          <w:bCs/>
        </w:rPr>
        <w:t xml:space="preserve"> novembre 2021</w:t>
      </w:r>
      <w:r w:rsidR="008208A1">
        <w:rPr>
          <w:rFonts w:ascii="Verdana" w:hAnsi="Verdana" w:cs="Arial"/>
          <w:bCs/>
        </w:rPr>
        <w:t xml:space="preserve"> come da disposizioni del calendario venatorio regionale 2021-2022</w:t>
      </w:r>
      <w:r w:rsidRPr="00891C13">
        <w:rPr>
          <w:rFonts w:ascii="Verdana" w:hAnsi="Verdana" w:cs="Arial"/>
          <w:bCs/>
        </w:rPr>
        <w:t>.</w:t>
      </w:r>
      <w:r w:rsidR="00B71E7C">
        <w:rPr>
          <w:rFonts w:ascii="Verdana" w:hAnsi="Verdana" w:cs="Arial"/>
          <w:b/>
          <w:bCs/>
        </w:rPr>
        <w:t xml:space="preserve"> </w:t>
      </w:r>
      <w:r w:rsidR="00B71E7C" w:rsidRPr="00B71E7C">
        <w:rPr>
          <w:rFonts w:ascii="Verdana" w:hAnsi="Verdana" w:cs="Arial"/>
          <w:bCs/>
        </w:rPr>
        <w:t>P</w:t>
      </w:r>
      <w:r w:rsidRPr="00891C13">
        <w:rPr>
          <w:rFonts w:ascii="Verdana" w:hAnsi="Verdana" w:cs="Arial"/>
          <w:bCs/>
        </w:rPr>
        <w:t xml:space="preserve">er </w:t>
      </w:r>
      <w:r w:rsidR="008208A1">
        <w:rPr>
          <w:rFonts w:ascii="Verdana" w:hAnsi="Verdana" w:cs="Arial"/>
          <w:bCs/>
        </w:rPr>
        <w:t xml:space="preserve">le giornate e </w:t>
      </w:r>
      <w:r w:rsidRPr="00891C13">
        <w:rPr>
          <w:rFonts w:ascii="Verdana" w:hAnsi="Verdana" w:cs="Arial"/>
          <w:bCs/>
        </w:rPr>
        <w:t>gli orari di prelievo valgono le disposizioni del calendario venatorio regionale per la stagione venatoria 2021-2022</w:t>
      </w:r>
      <w:r w:rsidR="00B71E7C">
        <w:rPr>
          <w:rFonts w:ascii="Verdana" w:hAnsi="Verdana" w:cs="Arial"/>
          <w:bCs/>
        </w:rPr>
        <w:t>. N</w:t>
      </w:r>
      <w:r w:rsidRPr="00891C13">
        <w:rPr>
          <w:rFonts w:ascii="Verdana" w:hAnsi="Verdana" w:cs="Arial"/>
          <w:bCs/>
        </w:rPr>
        <w:t>ei giorni di apertura anticipata è fatto divieto di abbattimento nei siti inclusi nella Rete Natura 2000.</w:t>
      </w:r>
    </w:p>
    <w:p w14:paraId="50D8CD4C" w14:textId="77777777" w:rsidR="00D036F8" w:rsidRPr="00891C13" w:rsidRDefault="00D036F8" w:rsidP="00D036F8">
      <w:pPr>
        <w:pStyle w:val="Default"/>
        <w:jc w:val="both"/>
        <w:rPr>
          <w:rFonts w:ascii="Verdana" w:hAnsi="Verdana" w:cs="Arial"/>
        </w:rPr>
      </w:pPr>
    </w:p>
    <w:p w14:paraId="2848C429" w14:textId="77777777" w:rsidR="00861599" w:rsidRPr="00891C13" w:rsidRDefault="00D036F8" w:rsidP="00861599">
      <w:pPr>
        <w:spacing w:after="0"/>
        <w:jc w:val="both"/>
        <w:rPr>
          <w:rFonts w:ascii="Verdana" w:hAnsi="Verdana" w:cs="Arial"/>
          <w:b/>
          <w:bCs/>
          <w:sz w:val="24"/>
          <w:szCs w:val="24"/>
        </w:rPr>
      </w:pPr>
      <w:r w:rsidRPr="00891C13">
        <w:rPr>
          <w:rFonts w:ascii="Verdana" w:hAnsi="Verdana" w:cs="Arial"/>
          <w:b/>
          <w:bCs/>
          <w:sz w:val="24"/>
          <w:szCs w:val="24"/>
        </w:rPr>
        <w:t xml:space="preserve">LIMITI </w:t>
      </w:r>
      <w:r w:rsidR="00861599" w:rsidRPr="00891C13">
        <w:rPr>
          <w:rFonts w:ascii="Verdana" w:hAnsi="Verdana" w:cs="Arial"/>
          <w:b/>
          <w:bCs/>
          <w:sz w:val="24"/>
          <w:szCs w:val="24"/>
        </w:rPr>
        <w:t xml:space="preserve">OPERATIVI E </w:t>
      </w:r>
      <w:r w:rsidRPr="00891C13">
        <w:rPr>
          <w:rFonts w:ascii="Verdana" w:hAnsi="Verdana" w:cs="Arial"/>
          <w:b/>
          <w:bCs/>
          <w:sz w:val="24"/>
          <w:szCs w:val="24"/>
        </w:rPr>
        <w:t xml:space="preserve">QUANTITATIVI: </w:t>
      </w:r>
    </w:p>
    <w:p w14:paraId="0A9A33C9" w14:textId="77777777" w:rsidR="00861599" w:rsidRPr="00891C13" w:rsidRDefault="00861599" w:rsidP="00861599">
      <w:pPr>
        <w:pStyle w:val="Paragrafoelenco"/>
        <w:numPr>
          <w:ilvl w:val="0"/>
          <w:numId w:val="3"/>
        </w:numPr>
        <w:jc w:val="both"/>
        <w:rPr>
          <w:rFonts w:ascii="Verdana" w:hAnsi="Verdana"/>
          <w:sz w:val="24"/>
          <w:szCs w:val="24"/>
        </w:rPr>
      </w:pPr>
      <w:r w:rsidRPr="00891C13">
        <w:rPr>
          <w:rFonts w:ascii="Verdana" w:hAnsi="Verdana"/>
          <w:sz w:val="24"/>
          <w:szCs w:val="24"/>
          <w:u w:val="single"/>
        </w:rPr>
        <w:t>Modalità:</w:t>
      </w:r>
      <w:r w:rsidRPr="00891C13">
        <w:rPr>
          <w:rFonts w:ascii="Verdana" w:hAnsi="Verdana"/>
          <w:sz w:val="24"/>
          <w:szCs w:val="24"/>
        </w:rPr>
        <w:t xml:space="preserve"> prelievo con il sistema dell’</w:t>
      </w:r>
      <w:r w:rsidR="00D036F8" w:rsidRPr="00891C13">
        <w:rPr>
          <w:rFonts w:ascii="Verdana" w:hAnsi="Verdana"/>
          <w:sz w:val="24"/>
          <w:szCs w:val="24"/>
        </w:rPr>
        <w:t xml:space="preserve">appostamento </w:t>
      </w:r>
      <w:r w:rsidRPr="00891C13">
        <w:rPr>
          <w:rFonts w:ascii="Verdana" w:hAnsi="Verdana"/>
          <w:sz w:val="24"/>
          <w:szCs w:val="24"/>
        </w:rPr>
        <w:t xml:space="preserve">senza l’utilizzo dei richiami vivi, entro il raggio di 100 metri da vigneti, oliveti e frutteti con frutti pendenti, nei quali siano in atto sistemi dissuasivi e sempre nel raggio di 100 metri dai nuclei vegetazionali produttivi sparsi anche con l’uso di richiami fissi in plastica o </w:t>
      </w:r>
      <w:proofErr w:type="spellStart"/>
      <w:r w:rsidRPr="00891C13">
        <w:rPr>
          <w:rFonts w:ascii="Verdana" w:hAnsi="Verdana"/>
          <w:sz w:val="24"/>
          <w:szCs w:val="24"/>
        </w:rPr>
        <w:t>tassidermizzati</w:t>
      </w:r>
      <w:proofErr w:type="spellEnd"/>
      <w:r w:rsidRPr="00891C13">
        <w:rPr>
          <w:rFonts w:ascii="Verdana" w:hAnsi="Verdana"/>
          <w:sz w:val="24"/>
          <w:szCs w:val="24"/>
        </w:rPr>
        <w:t xml:space="preserve"> purché utilizzati entro il raggio di 50 metri dal luogo dell’appostamento di caccia;</w:t>
      </w:r>
    </w:p>
    <w:p w14:paraId="58C16628" w14:textId="77777777" w:rsidR="00861599" w:rsidRPr="00891C13" w:rsidRDefault="00861599" w:rsidP="00861599">
      <w:pPr>
        <w:pStyle w:val="Paragrafoelenco"/>
        <w:numPr>
          <w:ilvl w:val="0"/>
          <w:numId w:val="3"/>
        </w:numPr>
        <w:jc w:val="both"/>
        <w:rPr>
          <w:rFonts w:ascii="Verdana" w:hAnsi="Verdana"/>
          <w:sz w:val="24"/>
          <w:szCs w:val="24"/>
        </w:rPr>
      </w:pPr>
      <w:r w:rsidRPr="00891C13">
        <w:rPr>
          <w:rFonts w:ascii="Verdana" w:hAnsi="Verdana"/>
          <w:sz w:val="24"/>
          <w:szCs w:val="24"/>
          <w:u w:val="single"/>
        </w:rPr>
        <w:t>Limite massimo del Piano di prelievo in deroga dello Storno 2021-2022:</w:t>
      </w:r>
      <w:r w:rsidRPr="00891C13">
        <w:rPr>
          <w:rFonts w:ascii="Verdana" w:hAnsi="Verdana"/>
          <w:sz w:val="24"/>
          <w:szCs w:val="24"/>
        </w:rPr>
        <w:t xml:space="preserve"> 80.000 capi.</w:t>
      </w:r>
    </w:p>
    <w:p w14:paraId="0E78F8F5" w14:textId="77777777" w:rsidR="00861599" w:rsidRPr="00891C13" w:rsidRDefault="00861599" w:rsidP="00861599">
      <w:pPr>
        <w:pStyle w:val="Paragrafoelenco"/>
        <w:numPr>
          <w:ilvl w:val="0"/>
          <w:numId w:val="3"/>
        </w:numPr>
        <w:jc w:val="both"/>
        <w:rPr>
          <w:rFonts w:ascii="Verdana" w:hAnsi="Verdana"/>
          <w:sz w:val="24"/>
          <w:szCs w:val="24"/>
        </w:rPr>
      </w:pPr>
      <w:r w:rsidRPr="00891C13">
        <w:rPr>
          <w:rFonts w:ascii="Verdana" w:hAnsi="Verdana"/>
          <w:sz w:val="24"/>
          <w:szCs w:val="24"/>
          <w:u w:val="single"/>
        </w:rPr>
        <w:t>Limite giornaliero di prelievi/cacciatore:</w:t>
      </w:r>
      <w:r w:rsidRPr="00891C13">
        <w:rPr>
          <w:rFonts w:ascii="Verdana" w:hAnsi="Verdana"/>
          <w:sz w:val="24"/>
          <w:szCs w:val="24"/>
        </w:rPr>
        <w:t xml:space="preserve"> 15 capi.</w:t>
      </w:r>
    </w:p>
    <w:p w14:paraId="51F37C1C" w14:textId="77777777" w:rsidR="00861599" w:rsidRPr="00891C13" w:rsidRDefault="00861599" w:rsidP="00861599">
      <w:pPr>
        <w:pStyle w:val="Paragrafoelenco"/>
        <w:numPr>
          <w:ilvl w:val="0"/>
          <w:numId w:val="3"/>
        </w:numPr>
        <w:jc w:val="both"/>
        <w:rPr>
          <w:rFonts w:ascii="Verdana" w:hAnsi="Verdana"/>
          <w:sz w:val="24"/>
          <w:szCs w:val="24"/>
        </w:rPr>
      </w:pPr>
      <w:r w:rsidRPr="00891C13">
        <w:rPr>
          <w:rFonts w:ascii="Verdana" w:hAnsi="Verdana"/>
          <w:sz w:val="24"/>
          <w:szCs w:val="24"/>
          <w:u w:val="single"/>
        </w:rPr>
        <w:t>Limite annuale di prelievi/cacciatore:</w:t>
      </w:r>
      <w:r w:rsidRPr="00891C13">
        <w:rPr>
          <w:rFonts w:ascii="Verdana" w:hAnsi="Verdana"/>
          <w:sz w:val="24"/>
          <w:szCs w:val="24"/>
        </w:rPr>
        <w:t xml:space="preserve"> 100 capi.</w:t>
      </w:r>
    </w:p>
    <w:p w14:paraId="04ED255A" w14:textId="77777777" w:rsidR="00861599" w:rsidRPr="00891C13" w:rsidRDefault="00861599" w:rsidP="00861599">
      <w:pPr>
        <w:tabs>
          <w:tab w:val="left" w:pos="720"/>
        </w:tabs>
        <w:spacing w:line="239" w:lineRule="auto"/>
        <w:ind w:right="420"/>
        <w:jc w:val="both"/>
        <w:rPr>
          <w:rFonts w:ascii="Verdana" w:eastAsia="Arial" w:hAnsi="Verdana"/>
          <w:sz w:val="24"/>
        </w:rPr>
      </w:pPr>
    </w:p>
    <w:p w14:paraId="18BEA5BF" w14:textId="77777777" w:rsidR="00A61AA9" w:rsidRPr="00891C13" w:rsidRDefault="00861599" w:rsidP="00A61AA9">
      <w:pPr>
        <w:pStyle w:val="Default"/>
        <w:jc w:val="both"/>
        <w:rPr>
          <w:rFonts w:ascii="Verdana" w:hAnsi="Verdana" w:cs="Arial"/>
          <w:bCs/>
        </w:rPr>
      </w:pPr>
      <w:r w:rsidRPr="00891C13">
        <w:rPr>
          <w:rFonts w:ascii="Verdana" w:hAnsi="Verdana" w:cs="Arial"/>
          <w:b/>
          <w:bCs/>
        </w:rPr>
        <w:t xml:space="preserve">CONDIZIONI DI RISCHIO: </w:t>
      </w:r>
      <w:r w:rsidRPr="00891C13">
        <w:rPr>
          <w:rFonts w:ascii="Verdana" w:hAnsi="Verdana" w:cs="Arial"/>
          <w:bCs/>
        </w:rPr>
        <w:t>la popolazione di Storno presente nell’area interessata</w:t>
      </w:r>
      <w:r w:rsidR="00534A30" w:rsidRPr="00891C13">
        <w:rPr>
          <w:rFonts w:ascii="Verdana" w:hAnsi="Verdana" w:cs="Arial"/>
          <w:bCs/>
        </w:rPr>
        <w:t xml:space="preserve"> nei mesi autunnali ed invernali </w:t>
      </w:r>
      <w:r w:rsidRPr="00891C13">
        <w:rPr>
          <w:rFonts w:ascii="Verdana" w:hAnsi="Verdana" w:cs="Arial"/>
          <w:bCs/>
        </w:rPr>
        <w:t xml:space="preserve">è costituita da storni di diversa origine geografica (individui stanziali, in migrazione, erratici e svernanti) che si mescolano tra loro e, conseguentemente, non sono distinguibili gli uni dagli altri. Per ottenere una significativa diminuzione dei danni e </w:t>
      </w:r>
      <w:r w:rsidR="00534A30" w:rsidRPr="00891C13">
        <w:rPr>
          <w:rFonts w:ascii="Verdana" w:hAnsi="Verdana" w:cs="Arial"/>
          <w:bCs/>
        </w:rPr>
        <w:t>al contempo garantire un adeguato livello di conservazione di frazioni di popolazione di</w:t>
      </w:r>
      <w:r w:rsidRPr="00891C13">
        <w:rPr>
          <w:rFonts w:ascii="Verdana" w:hAnsi="Verdana" w:cs="Arial"/>
          <w:bCs/>
        </w:rPr>
        <w:t xml:space="preserve"> storni in migrazione </w:t>
      </w:r>
      <w:r w:rsidR="00534A30" w:rsidRPr="00891C13">
        <w:rPr>
          <w:rFonts w:ascii="Verdana" w:hAnsi="Verdana" w:cs="Arial"/>
          <w:bCs/>
        </w:rPr>
        <w:t>non</w:t>
      </w:r>
      <w:r w:rsidR="00A61AA9" w:rsidRPr="00891C13">
        <w:rPr>
          <w:rFonts w:ascii="Verdana" w:hAnsi="Verdana" w:cs="Arial"/>
          <w:bCs/>
        </w:rPr>
        <w:t xml:space="preserve"> è praticabile un prelievo nelle forme tradizionali “al rientro” nei canneti, nei dormitori o nelle “larghe” con i richiami. Si ritiene, pertanto, che una soluzione alternativa, ragionevolmente più efficace ed accettabile, in sintonia con il dettato della Direttiva 2009/147/CE, art. 9, lettera a), consista nell’abbattere un numero </w:t>
      </w:r>
      <w:r w:rsidR="00534A30" w:rsidRPr="00891C13">
        <w:rPr>
          <w:rFonts w:ascii="Verdana" w:hAnsi="Verdana" w:cs="Arial"/>
          <w:bCs/>
        </w:rPr>
        <w:t>contingentato</w:t>
      </w:r>
      <w:r w:rsidR="00A61AA9" w:rsidRPr="00891C13">
        <w:rPr>
          <w:rFonts w:ascii="Verdana" w:hAnsi="Verdana" w:cs="Arial"/>
          <w:bCs/>
        </w:rPr>
        <w:t xml:space="preserve"> di capi nelle immediate vicinanze </w:t>
      </w:r>
      <w:r w:rsidR="00534A30" w:rsidRPr="00891C13">
        <w:rPr>
          <w:rFonts w:ascii="Verdana" w:hAnsi="Verdana"/>
        </w:rPr>
        <w:t xml:space="preserve">di vigneti, oliveti e frutteti con frutti pendenti, </w:t>
      </w:r>
      <w:r w:rsidR="00A61AA9" w:rsidRPr="00891C13">
        <w:rPr>
          <w:rFonts w:ascii="Verdana" w:hAnsi="Verdana" w:cs="Arial"/>
          <w:bCs/>
        </w:rPr>
        <w:t xml:space="preserve">dei nuclei vegetazionali produttivi sparsi, al fine di tutelare la specificità delle coltivazioni regionali (vigneti, frutteti con frutti pendenti, uliveti) e di rafforzare l’effetto deterrente dei mezzi di dissuasione incruenti che, come è noto, perdono la loro efficacia dopo un breve tempo. </w:t>
      </w:r>
    </w:p>
    <w:p w14:paraId="64E93EC4" w14:textId="77777777" w:rsidR="00861599" w:rsidRPr="00891C13" w:rsidRDefault="00A61AA9" w:rsidP="00A61AA9">
      <w:pPr>
        <w:pStyle w:val="Default"/>
        <w:jc w:val="both"/>
        <w:rPr>
          <w:rFonts w:ascii="Verdana" w:hAnsi="Verdana" w:cs="Arial"/>
          <w:bCs/>
        </w:rPr>
      </w:pPr>
      <w:r w:rsidRPr="00891C13">
        <w:rPr>
          <w:rFonts w:ascii="Verdana" w:hAnsi="Verdana" w:cs="Arial"/>
          <w:bCs/>
        </w:rPr>
        <w:t>Il metodo di prelievo autorizzato e le caratteristiche della specie sono tali da garantire la necessaria selettività e da limitare, in maniera sostanziale, i rischi per altre specie “non target”.</w:t>
      </w:r>
    </w:p>
    <w:p w14:paraId="6319CFC0" w14:textId="77777777" w:rsidR="00A61AA9" w:rsidRPr="00891C13" w:rsidRDefault="00A61AA9" w:rsidP="00A61AA9">
      <w:pPr>
        <w:pStyle w:val="Default"/>
        <w:jc w:val="both"/>
        <w:rPr>
          <w:rFonts w:ascii="Verdana" w:hAnsi="Verdana" w:cs="Arial"/>
          <w:bCs/>
        </w:rPr>
      </w:pPr>
    </w:p>
    <w:p w14:paraId="7043DDD3" w14:textId="77777777" w:rsidR="00A61AA9" w:rsidRPr="00891C13" w:rsidRDefault="00A61AA9" w:rsidP="00A61AA9">
      <w:pPr>
        <w:pStyle w:val="Default"/>
        <w:jc w:val="both"/>
        <w:rPr>
          <w:rFonts w:ascii="Verdana" w:hAnsi="Verdana" w:cs="Arial"/>
          <w:bCs/>
        </w:rPr>
      </w:pPr>
      <w:r w:rsidRPr="00891C13">
        <w:rPr>
          <w:rFonts w:ascii="Verdana" w:hAnsi="Verdana" w:cs="Arial"/>
          <w:b/>
          <w:bCs/>
        </w:rPr>
        <w:t>AUTORIT</w:t>
      </w:r>
      <w:r w:rsidR="00891C13" w:rsidRPr="00891C13">
        <w:rPr>
          <w:rFonts w:ascii="Verdana" w:hAnsi="Verdana" w:cs="Arial"/>
          <w:b/>
          <w:bCs/>
        </w:rPr>
        <w:t>À</w:t>
      </w:r>
      <w:r w:rsidRPr="00891C13">
        <w:rPr>
          <w:rFonts w:ascii="Verdana" w:hAnsi="Verdana" w:cs="Arial"/>
          <w:b/>
          <w:bCs/>
        </w:rPr>
        <w:t xml:space="preserve"> ABILITATA A DICHIARARE CHE LE CONDIZIONI STABILITE SONO SODDISFATTE: </w:t>
      </w:r>
      <w:r w:rsidRPr="00891C13">
        <w:rPr>
          <w:rFonts w:ascii="Verdana" w:hAnsi="Verdana" w:cs="Arial"/>
          <w:bCs/>
        </w:rPr>
        <w:t xml:space="preserve">ai sensi della legislazione nazionale e regionale la Regione Marche risulta essere l’autorità abilitata a dichiarare che le condizioni previste dall’art. 9 comma 2 della Direttiva 2009/147/CE sono realizzate. </w:t>
      </w:r>
    </w:p>
    <w:p w14:paraId="76A1E920" w14:textId="77777777" w:rsidR="00A61AA9" w:rsidRPr="00891C13" w:rsidRDefault="00A61AA9" w:rsidP="00891C13">
      <w:pPr>
        <w:pStyle w:val="Default"/>
        <w:jc w:val="both"/>
        <w:rPr>
          <w:rFonts w:ascii="Verdana" w:hAnsi="Verdana" w:cs="Arial"/>
          <w:bCs/>
        </w:rPr>
      </w:pPr>
    </w:p>
    <w:p w14:paraId="3C796C08" w14:textId="77777777" w:rsidR="00A61AA9" w:rsidRPr="00891C13" w:rsidRDefault="00891C13" w:rsidP="00891C13">
      <w:pPr>
        <w:pStyle w:val="Default"/>
        <w:jc w:val="both"/>
        <w:rPr>
          <w:rFonts w:ascii="Verdana" w:hAnsi="Verdana" w:cs="Arial"/>
          <w:bCs/>
        </w:rPr>
      </w:pPr>
      <w:r w:rsidRPr="00891C13">
        <w:rPr>
          <w:rFonts w:ascii="Verdana" w:hAnsi="Verdana" w:cs="Arial"/>
          <w:b/>
          <w:bCs/>
        </w:rPr>
        <w:t xml:space="preserve">CONTROLLI E MODALITÀ DI MONITORAGGIO DEL PIANO: </w:t>
      </w:r>
      <w:r w:rsidRPr="00891C13">
        <w:rPr>
          <w:rFonts w:ascii="Verdana" w:hAnsi="Verdana" w:cs="Arial"/>
          <w:bCs/>
        </w:rPr>
        <w:t>gli esemplari abbattuti dovranno essere annotat</w:t>
      </w:r>
      <w:r w:rsidR="00A61AA9" w:rsidRPr="00891C13">
        <w:rPr>
          <w:rFonts w:ascii="Verdana" w:hAnsi="Verdana" w:cs="Arial"/>
          <w:bCs/>
        </w:rPr>
        <w:t>i sul tesserino venatorio regionale nella parte riguardante le</w:t>
      </w:r>
      <w:r w:rsidRPr="00891C13">
        <w:rPr>
          <w:rFonts w:ascii="Verdana" w:hAnsi="Verdana" w:cs="Arial"/>
          <w:bCs/>
        </w:rPr>
        <w:t xml:space="preserve"> </w:t>
      </w:r>
      <w:r w:rsidR="00A61AA9" w:rsidRPr="00891C13">
        <w:rPr>
          <w:rFonts w:ascii="Verdana" w:hAnsi="Verdana" w:cs="Arial"/>
          <w:bCs/>
        </w:rPr>
        <w:lastRenderedPageBreak/>
        <w:t>deroghe, subito dopo l'abbattimento, così come disposto dalla normativa vigente. La prima rendicontazione del Piano di prelievo avverrà con invio da parte degli AA.TT.CC. alla Regione Marche</w:t>
      </w:r>
      <w:r w:rsidRPr="00891C13">
        <w:rPr>
          <w:rFonts w:ascii="Verdana" w:hAnsi="Verdana" w:cs="Arial"/>
          <w:bCs/>
        </w:rPr>
        <w:t xml:space="preserve"> </w:t>
      </w:r>
      <w:r w:rsidR="00A61AA9" w:rsidRPr="00891C13">
        <w:rPr>
          <w:rFonts w:ascii="Verdana" w:hAnsi="Verdana" w:cs="Arial"/>
          <w:bCs/>
        </w:rPr>
        <w:t>entro la prima decade di novembre 2021 del report dei prelievi di Storno realizzati sul proprio territorio di</w:t>
      </w:r>
    </w:p>
    <w:p w14:paraId="19324F0B" w14:textId="77777777" w:rsidR="00A61AA9" w:rsidRPr="00891C13" w:rsidRDefault="00A61AA9" w:rsidP="00891C13">
      <w:pPr>
        <w:pStyle w:val="Default"/>
        <w:jc w:val="both"/>
        <w:rPr>
          <w:rFonts w:ascii="Verdana" w:hAnsi="Verdana" w:cs="Arial"/>
          <w:bCs/>
        </w:rPr>
      </w:pPr>
      <w:r w:rsidRPr="00891C13">
        <w:rPr>
          <w:rFonts w:ascii="Verdana" w:hAnsi="Verdana" w:cs="Arial"/>
          <w:bCs/>
        </w:rPr>
        <w:t>competenza gestionale. Ciò sarà possibile grazie alla predisposizione di specifiche schede riepilogative di</w:t>
      </w:r>
      <w:r w:rsidR="00891C13" w:rsidRPr="00891C13">
        <w:rPr>
          <w:rFonts w:ascii="Verdana" w:hAnsi="Verdana" w:cs="Arial"/>
          <w:bCs/>
        </w:rPr>
        <w:t xml:space="preserve"> </w:t>
      </w:r>
      <w:r w:rsidRPr="00891C13">
        <w:rPr>
          <w:rFonts w:ascii="Verdana" w:hAnsi="Verdana" w:cs="Arial"/>
          <w:bCs/>
        </w:rPr>
        <w:t>prelievo dello Storno nel tesserino venatorio regionale; i soggetti autorizzati al prelievo dovranno operare</w:t>
      </w:r>
      <w:r w:rsidR="00891C13" w:rsidRPr="00891C13">
        <w:rPr>
          <w:rFonts w:ascii="Verdana" w:hAnsi="Verdana" w:cs="Arial"/>
          <w:bCs/>
        </w:rPr>
        <w:t xml:space="preserve"> </w:t>
      </w:r>
      <w:r w:rsidRPr="00891C13">
        <w:rPr>
          <w:rFonts w:ascii="Verdana" w:hAnsi="Verdana" w:cs="Arial"/>
          <w:bCs/>
        </w:rPr>
        <w:t>secondo le seguenti modalità:</w:t>
      </w:r>
    </w:p>
    <w:p w14:paraId="3A0F0E32" w14:textId="77777777" w:rsidR="00891C13" w:rsidRPr="00891C13" w:rsidRDefault="00A61AA9" w:rsidP="00891C13">
      <w:pPr>
        <w:pStyle w:val="Paragrafoelenco"/>
        <w:numPr>
          <w:ilvl w:val="0"/>
          <w:numId w:val="4"/>
        </w:numPr>
        <w:autoSpaceDE w:val="0"/>
        <w:autoSpaceDN w:val="0"/>
        <w:adjustRightInd w:val="0"/>
        <w:jc w:val="both"/>
        <w:rPr>
          <w:rFonts w:ascii="Verdana" w:hAnsi="Verdana"/>
          <w:bCs/>
          <w:color w:val="000000"/>
          <w:sz w:val="24"/>
          <w:szCs w:val="24"/>
        </w:rPr>
      </w:pPr>
      <w:r w:rsidRPr="00891C13">
        <w:rPr>
          <w:rFonts w:ascii="Verdana" w:hAnsi="Verdana"/>
          <w:bCs/>
          <w:color w:val="000000"/>
          <w:sz w:val="24"/>
          <w:szCs w:val="24"/>
        </w:rPr>
        <w:t xml:space="preserve">entro il </w:t>
      </w:r>
      <w:r w:rsidR="00891C13" w:rsidRPr="00891C13">
        <w:rPr>
          <w:rFonts w:ascii="Verdana" w:hAnsi="Verdana"/>
          <w:bCs/>
          <w:color w:val="000000"/>
          <w:sz w:val="24"/>
          <w:szCs w:val="24"/>
        </w:rPr>
        <w:t>0</w:t>
      </w:r>
      <w:r w:rsidRPr="00891C13">
        <w:rPr>
          <w:rFonts w:ascii="Verdana" w:hAnsi="Verdana"/>
          <w:bCs/>
          <w:color w:val="000000"/>
          <w:sz w:val="24"/>
          <w:szCs w:val="24"/>
        </w:rPr>
        <w:t>2 novembre 2021 restituire agli ATC la specifica scheda riepilogativa dello Storno contenuta</w:t>
      </w:r>
      <w:r w:rsidR="00891C13" w:rsidRPr="00891C13">
        <w:rPr>
          <w:rFonts w:ascii="Verdana" w:hAnsi="Verdana"/>
          <w:bCs/>
          <w:color w:val="000000"/>
          <w:sz w:val="24"/>
          <w:szCs w:val="24"/>
        </w:rPr>
        <w:t xml:space="preserve"> </w:t>
      </w:r>
      <w:r w:rsidRPr="00891C13">
        <w:rPr>
          <w:rFonts w:ascii="Verdana" w:hAnsi="Verdana"/>
          <w:bCs/>
          <w:color w:val="000000"/>
          <w:sz w:val="24"/>
          <w:szCs w:val="24"/>
        </w:rPr>
        <w:t>nel tesserino venatorio regionale;</w:t>
      </w:r>
    </w:p>
    <w:p w14:paraId="6EA06CA7" w14:textId="77777777" w:rsidR="00A61AA9" w:rsidRPr="00891C13" w:rsidRDefault="00A61AA9" w:rsidP="00891C13">
      <w:pPr>
        <w:pStyle w:val="Paragrafoelenco"/>
        <w:numPr>
          <w:ilvl w:val="0"/>
          <w:numId w:val="4"/>
        </w:numPr>
        <w:autoSpaceDE w:val="0"/>
        <w:autoSpaceDN w:val="0"/>
        <w:adjustRightInd w:val="0"/>
        <w:jc w:val="both"/>
        <w:rPr>
          <w:rFonts w:ascii="Verdana" w:hAnsi="Verdana"/>
          <w:bCs/>
          <w:color w:val="000000"/>
          <w:sz w:val="24"/>
          <w:szCs w:val="24"/>
        </w:rPr>
      </w:pPr>
      <w:r w:rsidRPr="00891C13">
        <w:rPr>
          <w:rFonts w:ascii="Verdana" w:hAnsi="Verdana"/>
          <w:bCs/>
          <w:color w:val="000000"/>
          <w:sz w:val="24"/>
          <w:szCs w:val="24"/>
        </w:rPr>
        <w:t xml:space="preserve">gli A A.T T .C </w:t>
      </w:r>
      <w:proofErr w:type="spellStart"/>
      <w:r w:rsidRPr="00891C13">
        <w:rPr>
          <w:rFonts w:ascii="Verdana" w:hAnsi="Verdana"/>
          <w:bCs/>
          <w:color w:val="000000"/>
          <w:sz w:val="24"/>
          <w:szCs w:val="24"/>
        </w:rPr>
        <w:t>C</w:t>
      </w:r>
      <w:proofErr w:type="spellEnd"/>
      <w:r w:rsidRPr="00891C13">
        <w:rPr>
          <w:rFonts w:ascii="Verdana" w:hAnsi="Verdana"/>
          <w:bCs/>
          <w:color w:val="000000"/>
          <w:sz w:val="24"/>
          <w:szCs w:val="24"/>
        </w:rPr>
        <w:t xml:space="preserve"> . entro 7 giorni dal l’avvenuta riconsegna delle suddette schede trasmettono alla P.F.</w:t>
      </w:r>
      <w:r w:rsidR="00891C13" w:rsidRPr="00891C13">
        <w:rPr>
          <w:rFonts w:ascii="Verdana" w:hAnsi="Verdana"/>
          <w:bCs/>
          <w:color w:val="000000"/>
          <w:sz w:val="24"/>
          <w:szCs w:val="24"/>
        </w:rPr>
        <w:t xml:space="preserve"> </w:t>
      </w:r>
      <w:r w:rsidRPr="00891C13">
        <w:rPr>
          <w:rFonts w:ascii="Verdana" w:hAnsi="Verdana"/>
          <w:bCs/>
          <w:color w:val="000000"/>
          <w:sz w:val="24"/>
          <w:szCs w:val="24"/>
        </w:rPr>
        <w:t>Caccia e P esca nelle acque interne, il report complessivo dei prelievi ricavati dalla lettura di tutte le</w:t>
      </w:r>
      <w:r w:rsidR="00891C13" w:rsidRPr="00891C13">
        <w:rPr>
          <w:rFonts w:ascii="Verdana" w:hAnsi="Verdana"/>
          <w:bCs/>
          <w:color w:val="000000"/>
          <w:sz w:val="24"/>
          <w:szCs w:val="24"/>
        </w:rPr>
        <w:t xml:space="preserve"> </w:t>
      </w:r>
      <w:r w:rsidRPr="00891C13">
        <w:rPr>
          <w:rFonts w:ascii="Verdana" w:hAnsi="Verdana"/>
          <w:bCs/>
          <w:color w:val="000000"/>
          <w:sz w:val="24"/>
          <w:szCs w:val="24"/>
        </w:rPr>
        <w:t>schede riepilogative pervenute.</w:t>
      </w:r>
    </w:p>
    <w:p w14:paraId="1B75305E" w14:textId="77777777" w:rsidR="00A61AA9" w:rsidRPr="00891C13" w:rsidRDefault="00A61AA9" w:rsidP="00891C13">
      <w:pPr>
        <w:autoSpaceDE w:val="0"/>
        <w:autoSpaceDN w:val="0"/>
        <w:adjustRightInd w:val="0"/>
        <w:spacing w:after="0" w:line="240" w:lineRule="auto"/>
        <w:jc w:val="both"/>
        <w:rPr>
          <w:rFonts w:ascii="Verdana" w:hAnsi="Verdana" w:cs="Arial"/>
          <w:bCs/>
          <w:color w:val="000000"/>
          <w:sz w:val="24"/>
          <w:szCs w:val="24"/>
        </w:rPr>
      </w:pPr>
      <w:r w:rsidRPr="00891C13">
        <w:rPr>
          <w:rFonts w:ascii="Verdana" w:hAnsi="Verdana" w:cs="Arial"/>
          <w:bCs/>
          <w:color w:val="000000"/>
          <w:sz w:val="24"/>
          <w:szCs w:val="24"/>
        </w:rPr>
        <w:t>A seguito dell’analisi dei report degli AA.TT.CC. la PF Cac</w:t>
      </w:r>
      <w:r w:rsidR="00891C13" w:rsidRPr="00891C13">
        <w:rPr>
          <w:rFonts w:ascii="Verdana" w:hAnsi="Verdana" w:cs="Arial"/>
          <w:bCs/>
          <w:color w:val="000000"/>
          <w:sz w:val="24"/>
          <w:szCs w:val="24"/>
        </w:rPr>
        <w:t xml:space="preserve">cia e Pesca nelle acque interne </w:t>
      </w:r>
      <w:r w:rsidRPr="00891C13">
        <w:rPr>
          <w:rFonts w:ascii="Verdana" w:hAnsi="Verdana" w:cs="Arial"/>
          <w:bCs/>
          <w:color w:val="000000"/>
          <w:sz w:val="24"/>
          <w:szCs w:val="24"/>
        </w:rPr>
        <w:t>provvederà alla</w:t>
      </w:r>
      <w:r w:rsidR="00891C13" w:rsidRPr="00891C13">
        <w:rPr>
          <w:rFonts w:ascii="Verdana" w:hAnsi="Verdana" w:cs="Arial"/>
          <w:bCs/>
          <w:color w:val="000000"/>
          <w:sz w:val="24"/>
          <w:szCs w:val="24"/>
        </w:rPr>
        <w:t xml:space="preserve"> </w:t>
      </w:r>
      <w:r w:rsidRPr="00891C13">
        <w:rPr>
          <w:rFonts w:ascii="Verdana" w:hAnsi="Verdana" w:cs="Arial"/>
          <w:bCs/>
          <w:color w:val="000000"/>
          <w:sz w:val="24"/>
          <w:szCs w:val="24"/>
        </w:rPr>
        <w:t xml:space="preserve">sospensione del </w:t>
      </w:r>
      <w:r w:rsidR="00891C13" w:rsidRPr="00891C13">
        <w:rPr>
          <w:rFonts w:ascii="Verdana" w:hAnsi="Verdana" w:cs="Arial"/>
          <w:bCs/>
          <w:color w:val="000000"/>
          <w:sz w:val="24"/>
          <w:szCs w:val="24"/>
        </w:rPr>
        <w:t>prelievo in deroga dello Storno</w:t>
      </w:r>
      <w:r w:rsidRPr="00891C13">
        <w:rPr>
          <w:rFonts w:ascii="Verdana" w:hAnsi="Verdana" w:cs="Arial"/>
          <w:bCs/>
          <w:color w:val="000000"/>
          <w:sz w:val="24"/>
          <w:szCs w:val="24"/>
        </w:rPr>
        <w:t>, qualora si possa dedurre il superamento del tetto limite di</w:t>
      </w:r>
      <w:r w:rsidR="00891C13" w:rsidRPr="00891C13">
        <w:rPr>
          <w:rFonts w:ascii="Verdana" w:hAnsi="Verdana" w:cs="Arial"/>
          <w:bCs/>
          <w:color w:val="000000"/>
          <w:sz w:val="24"/>
          <w:szCs w:val="24"/>
        </w:rPr>
        <w:t xml:space="preserve"> </w:t>
      </w:r>
      <w:r w:rsidRPr="00891C13">
        <w:rPr>
          <w:rFonts w:ascii="Verdana" w:hAnsi="Verdana" w:cs="Arial"/>
          <w:bCs/>
          <w:color w:val="000000"/>
          <w:sz w:val="24"/>
          <w:szCs w:val="24"/>
        </w:rPr>
        <w:t xml:space="preserve">prelievo anteriormente alla data di termine del prelievo prevista al </w:t>
      </w:r>
      <w:r w:rsidR="00B71E7C">
        <w:rPr>
          <w:rFonts w:ascii="Verdana" w:hAnsi="Verdana" w:cs="Arial"/>
          <w:bCs/>
          <w:color w:val="000000"/>
          <w:sz w:val="24"/>
          <w:szCs w:val="24"/>
        </w:rPr>
        <w:t>29</w:t>
      </w:r>
      <w:r w:rsidRPr="00891C13">
        <w:rPr>
          <w:rFonts w:ascii="Verdana" w:hAnsi="Verdana" w:cs="Arial"/>
          <w:bCs/>
          <w:color w:val="000000"/>
          <w:sz w:val="24"/>
          <w:szCs w:val="24"/>
        </w:rPr>
        <w:t xml:space="preserve"> </w:t>
      </w:r>
      <w:r w:rsidR="00B71E7C">
        <w:rPr>
          <w:rFonts w:ascii="Verdana" w:hAnsi="Verdana" w:cs="Arial"/>
          <w:bCs/>
          <w:color w:val="000000"/>
          <w:sz w:val="24"/>
          <w:szCs w:val="24"/>
        </w:rPr>
        <w:t>nov</w:t>
      </w:r>
      <w:r w:rsidRPr="00891C13">
        <w:rPr>
          <w:rFonts w:ascii="Verdana" w:hAnsi="Verdana" w:cs="Arial"/>
          <w:bCs/>
          <w:color w:val="000000"/>
          <w:sz w:val="24"/>
          <w:szCs w:val="24"/>
        </w:rPr>
        <w:t>embre 2021.</w:t>
      </w:r>
    </w:p>
    <w:p w14:paraId="79CD36A0" w14:textId="4AB1EDEE" w:rsidR="00A61AA9" w:rsidRPr="00891C13" w:rsidRDefault="00793AC2" w:rsidP="00A61AA9">
      <w:pPr>
        <w:pStyle w:val="Default"/>
        <w:jc w:val="both"/>
        <w:rPr>
          <w:rFonts w:ascii="Verdana" w:hAnsi="Verdana" w:cs="Arial"/>
          <w:b/>
          <w:bCs/>
        </w:rPr>
      </w:pPr>
      <w:r w:rsidRPr="00BD2BC4">
        <w:rPr>
          <w:rFonts w:ascii="Verdana" w:hAnsi="Verdana" w:cs="Arial"/>
        </w:rPr>
        <w:t xml:space="preserve">Gli ATC devono incrementare gli interventi di prevenzione dei danni causati alle produzioni agricole da Tortora dal collare, Piccione e Storno </w:t>
      </w:r>
      <w:r>
        <w:rPr>
          <w:rFonts w:ascii="Verdana" w:hAnsi="Verdana" w:cs="Arial"/>
        </w:rPr>
        <w:t>il cui indicatore di risultato è previsto in un aumento del</w:t>
      </w:r>
      <w:r w:rsidRPr="00BD2BC4">
        <w:rPr>
          <w:rFonts w:ascii="Verdana" w:hAnsi="Verdana" w:cs="Arial"/>
        </w:rPr>
        <w:t xml:space="preserve"> 33% delle somme mediamente destinate </w:t>
      </w:r>
      <w:r>
        <w:rPr>
          <w:rFonts w:ascii="Verdana" w:hAnsi="Verdana" w:cs="Arial"/>
        </w:rPr>
        <w:t xml:space="preserve">a tali interventi </w:t>
      </w:r>
      <w:r w:rsidRPr="00BD2BC4">
        <w:rPr>
          <w:rFonts w:ascii="Verdana" w:hAnsi="Verdana" w:cs="Arial"/>
        </w:rPr>
        <w:t>negli ultimi 5 anni.</w:t>
      </w:r>
    </w:p>
    <w:p w14:paraId="50B585F8" w14:textId="77777777" w:rsidR="00A61AA9" w:rsidRPr="00891C13" w:rsidRDefault="00A61AA9" w:rsidP="00A61AA9">
      <w:pPr>
        <w:pStyle w:val="Default"/>
        <w:jc w:val="both"/>
        <w:rPr>
          <w:rFonts w:ascii="Verdana" w:hAnsi="Verdana" w:cs="Arial"/>
          <w:bCs/>
        </w:rPr>
      </w:pPr>
    </w:p>
    <w:sectPr w:rsidR="00A61AA9" w:rsidRPr="00891C13" w:rsidSect="00D036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BF7"/>
    <w:multiLevelType w:val="hybridMultilevel"/>
    <w:tmpl w:val="4C54C3B8"/>
    <w:lvl w:ilvl="0" w:tplc="53625C6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B265DF8"/>
    <w:multiLevelType w:val="hybridMultilevel"/>
    <w:tmpl w:val="8EB8A5A4"/>
    <w:lvl w:ilvl="0" w:tplc="53625C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CC2BF9"/>
    <w:multiLevelType w:val="hybridMultilevel"/>
    <w:tmpl w:val="67A824F4"/>
    <w:lvl w:ilvl="0" w:tplc="53625C6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D4B3400"/>
    <w:multiLevelType w:val="hybridMultilevel"/>
    <w:tmpl w:val="3816F7F2"/>
    <w:lvl w:ilvl="0" w:tplc="53625C62">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4" w15:restartNumberingAfterBreak="0">
    <w:nsid w:val="6C3D3AAF"/>
    <w:multiLevelType w:val="hybridMultilevel"/>
    <w:tmpl w:val="2B887D0E"/>
    <w:lvl w:ilvl="0" w:tplc="53625C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F8"/>
    <w:rsid w:val="00142856"/>
    <w:rsid w:val="00277053"/>
    <w:rsid w:val="0028137C"/>
    <w:rsid w:val="00534A30"/>
    <w:rsid w:val="006422F7"/>
    <w:rsid w:val="00793AC2"/>
    <w:rsid w:val="008208A1"/>
    <w:rsid w:val="00861599"/>
    <w:rsid w:val="00891C13"/>
    <w:rsid w:val="008F53F2"/>
    <w:rsid w:val="00902A64"/>
    <w:rsid w:val="00A61AA9"/>
    <w:rsid w:val="00B71E7C"/>
    <w:rsid w:val="00D036F8"/>
    <w:rsid w:val="00DB46E1"/>
    <w:rsid w:val="00E147B9"/>
    <w:rsid w:val="00E35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FA47"/>
  <w15:docId w15:val="{6250FFBA-CEE7-438A-A2B5-3452F37A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70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36F8"/>
    <w:pPr>
      <w:autoSpaceDE w:val="0"/>
      <w:autoSpaceDN w:val="0"/>
      <w:adjustRightInd w:val="0"/>
      <w:spacing w:after="0" w:line="240" w:lineRule="auto"/>
    </w:pPr>
    <w:rPr>
      <w:rFonts w:ascii="Courier New" w:hAnsi="Courier New" w:cs="Courier New"/>
      <w:color w:val="000000"/>
      <w:sz w:val="24"/>
      <w:szCs w:val="24"/>
    </w:rPr>
  </w:style>
  <w:style w:type="paragraph" w:styleId="Paragrafoelenco">
    <w:name w:val="List Paragraph"/>
    <w:basedOn w:val="Normale"/>
    <w:uiPriority w:val="34"/>
    <w:qFormat/>
    <w:rsid w:val="00861599"/>
    <w:pPr>
      <w:spacing w:after="0" w:line="240" w:lineRule="auto"/>
      <w:ind w:left="720"/>
      <w:contextualSpacing/>
    </w:pPr>
    <w:rPr>
      <w:rFonts w:ascii="Calibri" w:eastAsia="Calibri" w:hAnsi="Calibri" w:cs="Arial"/>
      <w:sz w:val="20"/>
      <w:szCs w:val="20"/>
      <w:lang w:eastAsia="it-IT"/>
    </w:rPr>
  </w:style>
  <w:style w:type="paragraph" w:styleId="Intestazione">
    <w:name w:val="header"/>
    <w:basedOn w:val="Normale"/>
    <w:link w:val="IntestazioneCarattere"/>
    <w:uiPriority w:val="99"/>
    <w:unhideWhenUsed/>
    <w:rsid w:val="008F53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5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Giovanni_Giuliani</dc:creator>
  <cp:lastModifiedBy>Luana Santangeli</cp:lastModifiedBy>
  <cp:revision>2</cp:revision>
  <dcterms:created xsi:type="dcterms:W3CDTF">2021-07-02T20:36:00Z</dcterms:created>
  <dcterms:modified xsi:type="dcterms:W3CDTF">2021-07-02T20:36:00Z</dcterms:modified>
</cp:coreProperties>
</file>