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F98" w:rsidRPr="00372F98" w:rsidRDefault="00372F98" w:rsidP="00372F98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</w:pPr>
      <w:bookmarkStart w:id="0" w:name="_GoBack"/>
      <w:bookmarkEnd w:id="0"/>
      <w:r w:rsidRPr="00372F98">
        <w:rPr>
          <w:rFonts w:ascii="Garamond" w:eastAsia="Times New Roman" w:hAnsi="Garamond" w:cs="Times New Roman"/>
          <w:b/>
          <w:bCs/>
          <w:noProof/>
          <w:color w:val="000000"/>
          <w:sz w:val="24"/>
          <w:szCs w:val="24"/>
          <w:lang w:eastAsia="it-IT"/>
        </w:rPr>
        <w:drawing>
          <wp:inline distT="0" distB="0" distL="0" distR="0">
            <wp:extent cx="723265" cy="826770"/>
            <wp:effectExtent l="0" t="0" r="635" b="0"/>
            <wp:docPr id="1" name="Immagin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F98" w:rsidRPr="00372F98" w:rsidRDefault="00372F98" w:rsidP="00372F98">
      <w:pPr>
        <w:spacing w:before="100" w:beforeAutospacing="1" w:after="100" w:afterAutospacing="1" w:line="240" w:lineRule="auto"/>
        <w:jc w:val="center"/>
        <w:outlineLvl w:val="1"/>
        <w:rPr>
          <w:rFonts w:ascii="Garamond" w:eastAsia="Times New Roman" w:hAnsi="Garamond" w:cs="Arial"/>
          <w:b/>
          <w:bCs/>
          <w:color w:val="000000"/>
          <w:kern w:val="36"/>
          <w:sz w:val="24"/>
          <w:szCs w:val="24"/>
          <w:lang w:eastAsia="it-IT"/>
        </w:rPr>
      </w:pPr>
      <w:r w:rsidRPr="00372F98">
        <w:rPr>
          <w:rFonts w:ascii="Garamond" w:eastAsia="Times New Roman" w:hAnsi="Garamond" w:cs="Arial"/>
          <w:b/>
          <w:bCs/>
          <w:color w:val="000000"/>
          <w:kern w:val="36"/>
          <w:sz w:val="24"/>
          <w:szCs w:val="24"/>
          <w:lang w:eastAsia="it-IT"/>
        </w:rPr>
        <w:t>REPUBBLICA ITALIANA</w:t>
      </w:r>
    </w:p>
    <w:p w:rsidR="00372F98" w:rsidRPr="00372F98" w:rsidRDefault="00372F98" w:rsidP="00372F98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b/>
          <w:bCs/>
          <w:color w:val="000000"/>
          <w:sz w:val="26"/>
          <w:szCs w:val="26"/>
          <w:lang w:eastAsia="it-IT"/>
        </w:rPr>
      </w:pPr>
      <w:r w:rsidRPr="00372F98">
        <w:rPr>
          <w:rFonts w:ascii="Garamond" w:eastAsia="Times New Roman" w:hAnsi="Garamond" w:cs="Times New Roman"/>
          <w:b/>
          <w:bCs/>
          <w:color w:val="000000"/>
          <w:sz w:val="26"/>
          <w:szCs w:val="26"/>
          <w:lang w:eastAsia="it-IT"/>
        </w:rPr>
        <w:t>Il Consiglio di Stato</w:t>
      </w:r>
    </w:p>
    <w:p w:rsidR="00372F98" w:rsidRPr="00372F98" w:rsidRDefault="00372F98" w:rsidP="00372F98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b/>
          <w:bCs/>
          <w:color w:val="000000"/>
          <w:sz w:val="26"/>
          <w:szCs w:val="26"/>
          <w:lang w:eastAsia="it-IT"/>
        </w:rPr>
      </w:pPr>
      <w:r w:rsidRPr="00372F98">
        <w:rPr>
          <w:rFonts w:ascii="Garamond" w:eastAsia="Times New Roman" w:hAnsi="Garamond" w:cs="Times New Roman"/>
          <w:b/>
          <w:bCs/>
          <w:color w:val="000000"/>
          <w:sz w:val="26"/>
          <w:szCs w:val="26"/>
          <w:lang w:eastAsia="it-IT"/>
        </w:rPr>
        <w:t>in sede giurisdizionale (Sezione Terza)</w:t>
      </w:r>
    </w:p>
    <w:p w:rsidR="00372F98" w:rsidRPr="00372F98" w:rsidRDefault="00372F98" w:rsidP="00372F98">
      <w:pPr>
        <w:spacing w:after="0" w:line="520" w:lineRule="atLeast"/>
        <w:ind w:firstLine="567"/>
        <w:jc w:val="center"/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</w:pPr>
      <w:r w:rsidRPr="00372F98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>ha pronunciato la presente</w:t>
      </w:r>
    </w:p>
    <w:p w:rsidR="00372F98" w:rsidRPr="00372F98" w:rsidRDefault="00372F98" w:rsidP="00372F98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b/>
          <w:bCs/>
          <w:color w:val="000000"/>
          <w:sz w:val="26"/>
          <w:szCs w:val="26"/>
          <w:lang w:eastAsia="it-IT"/>
        </w:rPr>
      </w:pPr>
      <w:r w:rsidRPr="00372F98">
        <w:rPr>
          <w:rFonts w:ascii="Garamond" w:eastAsia="Times New Roman" w:hAnsi="Garamond" w:cs="Times New Roman"/>
          <w:b/>
          <w:bCs/>
          <w:color w:val="000000"/>
          <w:sz w:val="26"/>
          <w:szCs w:val="26"/>
          <w:lang w:eastAsia="it-IT"/>
        </w:rPr>
        <w:t>ORDINANZA</w:t>
      </w:r>
    </w:p>
    <w:p w:rsidR="00372F98" w:rsidRPr="00372F98" w:rsidRDefault="00372F98" w:rsidP="00372F98">
      <w:pPr>
        <w:spacing w:after="0" w:line="520" w:lineRule="atLeast"/>
        <w:jc w:val="both"/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</w:pPr>
      <w:r w:rsidRPr="00372F98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>sul ricorso numero di registro generale 8714 del 2016, proposto da:</w:t>
      </w:r>
    </w:p>
    <w:p w:rsidR="00372F98" w:rsidRPr="00372F98" w:rsidRDefault="00372F98" w:rsidP="00372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72F98" w:rsidRPr="00372F98" w:rsidRDefault="00372F98" w:rsidP="00372F98">
      <w:pPr>
        <w:spacing w:after="0" w:line="520" w:lineRule="atLeast"/>
        <w:jc w:val="both"/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</w:pPr>
      <w:r w:rsidRPr="00372F98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 xml:space="preserve">ARCI Caccia Nazionale, in persona del legale rappresentante </w:t>
      </w:r>
      <w:proofErr w:type="spellStart"/>
      <w:r w:rsidRPr="00372F98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>p.t.</w:t>
      </w:r>
      <w:proofErr w:type="spellEnd"/>
      <w:r w:rsidRPr="00372F98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>, rappresentato e difeso dall'avvocato Marco Orlando C.F. RLNMRC66D24H501Q, con domicilio eletto presso il suo studio in Roma, via Sistina 48;</w:t>
      </w:r>
    </w:p>
    <w:p w:rsidR="00372F98" w:rsidRPr="00372F98" w:rsidRDefault="00372F98" w:rsidP="00372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72F98" w:rsidRPr="00372F98" w:rsidRDefault="00372F98" w:rsidP="00372F98">
      <w:pPr>
        <w:spacing w:after="0" w:line="520" w:lineRule="atLeast"/>
        <w:jc w:val="center"/>
        <w:rPr>
          <w:rFonts w:ascii="Garamond" w:eastAsia="Times New Roman" w:hAnsi="Garamond" w:cs="Times New Roman"/>
          <w:b/>
          <w:bCs/>
          <w:i/>
          <w:iCs/>
          <w:color w:val="000000"/>
          <w:sz w:val="30"/>
          <w:szCs w:val="30"/>
          <w:lang w:eastAsia="it-IT"/>
        </w:rPr>
      </w:pPr>
      <w:r w:rsidRPr="00372F98">
        <w:rPr>
          <w:rFonts w:ascii="Garamond" w:eastAsia="Times New Roman" w:hAnsi="Garamond" w:cs="Times New Roman"/>
          <w:b/>
          <w:bCs/>
          <w:i/>
          <w:iCs/>
          <w:color w:val="000000"/>
          <w:sz w:val="30"/>
          <w:szCs w:val="30"/>
          <w:lang w:eastAsia="it-IT"/>
        </w:rPr>
        <w:t>contro</w:t>
      </w:r>
    </w:p>
    <w:p w:rsidR="00372F98" w:rsidRPr="00372F98" w:rsidRDefault="00372F98" w:rsidP="00372F98">
      <w:pPr>
        <w:spacing w:after="0" w:line="520" w:lineRule="atLeast"/>
        <w:jc w:val="both"/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</w:pPr>
      <w:r w:rsidRPr="00372F98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 xml:space="preserve">World Wide Fund Nature </w:t>
      </w:r>
      <w:proofErr w:type="spellStart"/>
      <w:r w:rsidRPr="00372F98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>Ong</w:t>
      </w:r>
      <w:proofErr w:type="spellEnd"/>
      <w:r w:rsidRPr="00372F98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 xml:space="preserve"> - WWF, in persona del legale rappresentante </w:t>
      </w:r>
      <w:proofErr w:type="spellStart"/>
      <w:r w:rsidRPr="00372F98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>p.t.</w:t>
      </w:r>
      <w:proofErr w:type="spellEnd"/>
      <w:r w:rsidRPr="00372F98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 xml:space="preserve">, rappresentato e difeso dall'avvocato Michele </w:t>
      </w:r>
      <w:proofErr w:type="spellStart"/>
      <w:r w:rsidRPr="00372F98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>Pezone</w:t>
      </w:r>
      <w:proofErr w:type="spellEnd"/>
      <w:r w:rsidRPr="00372F98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 xml:space="preserve"> C.F. PZNMHL73R12C632R, con domicilio eletto presso Alessio </w:t>
      </w:r>
      <w:proofErr w:type="spellStart"/>
      <w:r w:rsidRPr="00372F98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>Petretti</w:t>
      </w:r>
      <w:proofErr w:type="spellEnd"/>
      <w:r w:rsidRPr="00372F98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 xml:space="preserve"> in Roma, via degli Scipioni, 268/A; </w:t>
      </w:r>
    </w:p>
    <w:p w:rsidR="00372F98" w:rsidRPr="00372F98" w:rsidRDefault="00372F98" w:rsidP="00372F98">
      <w:pPr>
        <w:spacing w:after="0" w:line="520" w:lineRule="atLeast"/>
        <w:jc w:val="center"/>
        <w:rPr>
          <w:rFonts w:ascii="Garamond" w:eastAsia="Times New Roman" w:hAnsi="Garamond" w:cs="Times New Roman"/>
          <w:b/>
          <w:bCs/>
          <w:i/>
          <w:iCs/>
          <w:color w:val="000000"/>
          <w:sz w:val="30"/>
          <w:szCs w:val="30"/>
          <w:lang w:eastAsia="it-IT"/>
        </w:rPr>
      </w:pPr>
      <w:r w:rsidRPr="00372F98">
        <w:rPr>
          <w:rFonts w:ascii="Garamond" w:eastAsia="Times New Roman" w:hAnsi="Garamond" w:cs="Times New Roman"/>
          <w:b/>
          <w:bCs/>
          <w:i/>
          <w:iCs/>
          <w:color w:val="000000"/>
          <w:sz w:val="30"/>
          <w:szCs w:val="30"/>
          <w:lang w:eastAsia="it-IT"/>
        </w:rPr>
        <w:t>nei confronti di</w:t>
      </w:r>
    </w:p>
    <w:p w:rsidR="00372F98" w:rsidRPr="00372F98" w:rsidRDefault="00372F98" w:rsidP="00372F98">
      <w:pPr>
        <w:spacing w:after="0" w:line="520" w:lineRule="atLeast"/>
        <w:jc w:val="both"/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</w:pPr>
      <w:r w:rsidRPr="00372F98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>Regione Abruzzo non costituito in giudizio; </w:t>
      </w:r>
      <w:r w:rsidRPr="00372F98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br/>
        <w:t xml:space="preserve">Federazione Italiana della Caccia, in persona del legale rappresentante </w:t>
      </w:r>
      <w:proofErr w:type="spellStart"/>
      <w:r w:rsidRPr="00372F98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>p.t.</w:t>
      </w:r>
      <w:proofErr w:type="spellEnd"/>
      <w:r w:rsidRPr="00372F98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 xml:space="preserve">, rappresentato e difeso dagli avvocati Innocenzo </w:t>
      </w:r>
      <w:proofErr w:type="spellStart"/>
      <w:r w:rsidRPr="00372F98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>Gorlani</w:t>
      </w:r>
      <w:proofErr w:type="spellEnd"/>
      <w:r w:rsidRPr="00372F98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 xml:space="preserve"> C.F. GRLNCN37L29B157B, Claudio Chiola C.F. CHLCLD38D09H501K, con domicilio eletto presso Claudio Chiola in Roma, via della </w:t>
      </w:r>
      <w:proofErr w:type="spellStart"/>
      <w:r w:rsidRPr="00372F98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>Camilluccia</w:t>
      </w:r>
      <w:proofErr w:type="spellEnd"/>
      <w:r w:rsidRPr="00372F98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>, 785; </w:t>
      </w:r>
    </w:p>
    <w:p w:rsidR="00372F98" w:rsidRPr="00372F98" w:rsidRDefault="00372F98" w:rsidP="00372F98">
      <w:pPr>
        <w:spacing w:after="0" w:line="520" w:lineRule="atLeast"/>
        <w:jc w:val="center"/>
        <w:rPr>
          <w:rFonts w:ascii="Garamond" w:eastAsia="Times New Roman" w:hAnsi="Garamond" w:cs="Times New Roman"/>
          <w:b/>
          <w:bCs/>
          <w:i/>
          <w:iCs/>
          <w:color w:val="000000"/>
          <w:sz w:val="30"/>
          <w:szCs w:val="30"/>
          <w:lang w:eastAsia="it-IT"/>
        </w:rPr>
      </w:pPr>
      <w:r w:rsidRPr="00372F98">
        <w:rPr>
          <w:rFonts w:ascii="Garamond" w:eastAsia="Times New Roman" w:hAnsi="Garamond" w:cs="Times New Roman"/>
          <w:b/>
          <w:bCs/>
          <w:i/>
          <w:iCs/>
          <w:color w:val="000000"/>
          <w:sz w:val="30"/>
          <w:szCs w:val="30"/>
          <w:lang w:eastAsia="it-IT"/>
        </w:rPr>
        <w:t>per la riforma</w:t>
      </w:r>
    </w:p>
    <w:p w:rsidR="00372F98" w:rsidRPr="00372F98" w:rsidRDefault="00372F98" w:rsidP="00372F98">
      <w:pPr>
        <w:spacing w:after="0" w:line="520" w:lineRule="atLeast"/>
        <w:jc w:val="both"/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</w:pPr>
      <w:r w:rsidRPr="00372F98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>dell'ordinanza cautelare del T.A.R. per l’Abruzzo, sede di l’Aquila, n. 244/2016, resa tra le parti;</w:t>
      </w:r>
    </w:p>
    <w:p w:rsidR="00372F98" w:rsidRPr="00372F98" w:rsidRDefault="00372F98" w:rsidP="00372F98">
      <w:pPr>
        <w:spacing w:after="0" w:line="520" w:lineRule="atLeast"/>
        <w:jc w:val="both"/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</w:pPr>
      <w:r w:rsidRPr="00372F98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lastRenderedPageBreak/>
        <w:t xml:space="preserve">Visto l'art. 62 cod. proc. </w:t>
      </w:r>
      <w:proofErr w:type="spellStart"/>
      <w:r w:rsidRPr="00372F98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>amm</w:t>
      </w:r>
      <w:proofErr w:type="spellEnd"/>
      <w:r w:rsidRPr="00372F98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>;</w:t>
      </w:r>
    </w:p>
    <w:p w:rsidR="00372F98" w:rsidRPr="00372F98" w:rsidRDefault="00372F98" w:rsidP="00372F98">
      <w:pPr>
        <w:spacing w:after="0" w:line="520" w:lineRule="atLeast"/>
        <w:jc w:val="both"/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</w:pPr>
      <w:r w:rsidRPr="00372F98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>Visti il ricorso in appello e i relativi allegati;</w:t>
      </w:r>
    </w:p>
    <w:p w:rsidR="00372F98" w:rsidRPr="00372F98" w:rsidRDefault="00372F98" w:rsidP="00372F98">
      <w:pPr>
        <w:spacing w:after="0" w:line="520" w:lineRule="atLeast"/>
        <w:jc w:val="both"/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</w:pPr>
      <w:r w:rsidRPr="00372F98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>Visti tutti gli atti della causa;</w:t>
      </w:r>
    </w:p>
    <w:p w:rsidR="00372F98" w:rsidRPr="00372F98" w:rsidRDefault="00372F98" w:rsidP="00372F98">
      <w:pPr>
        <w:spacing w:after="0" w:line="520" w:lineRule="atLeast"/>
        <w:jc w:val="both"/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</w:pPr>
      <w:r w:rsidRPr="00372F98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 xml:space="preserve">Visti gli atti di costituzione in giudizio di World Wide Fund Nature </w:t>
      </w:r>
      <w:proofErr w:type="spellStart"/>
      <w:r w:rsidRPr="00372F98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>Ong</w:t>
      </w:r>
      <w:proofErr w:type="spellEnd"/>
      <w:r w:rsidRPr="00372F98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 xml:space="preserve"> - WWF e di Federazione Italiana della Caccia;</w:t>
      </w:r>
    </w:p>
    <w:p w:rsidR="00372F98" w:rsidRPr="00372F98" w:rsidRDefault="00372F98" w:rsidP="00372F98">
      <w:pPr>
        <w:spacing w:after="0" w:line="520" w:lineRule="atLeast"/>
        <w:jc w:val="both"/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</w:pPr>
      <w:r w:rsidRPr="00372F98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>Vista la impugnata ordinanza cautelare del Tribunale amministrativo regionale di accoglimento della domanda cautelare presentata dalla parte ricorrente in primo grado;</w:t>
      </w:r>
    </w:p>
    <w:p w:rsidR="00372F98" w:rsidRPr="00372F98" w:rsidRDefault="00372F98" w:rsidP="00372F98">
      <w:pPr>
        <w:spacing w:after="0" w:line="520" w:lineRule="atLeast"/>
        <w:jc w:val="both"/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</w:pPr>
      <w:r w:rsidRPr="00372F98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>Viste le memorie difensive;</w:t>
      </w:r>
    </w:p>
    <w:p w:rsidR="00372F98" w:rsidRPr="00372F98" w:rsidRDefault="00372F98" w:rsidP="00372F98">
      <w:pPr>
        <w:spacing w:after="0" w:line="520" w:lineRule="atLeast"/>
        <w:jc w:val="both"/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</w:pPr>
      <w:r w:rsidRPr="00372F98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 xml:space="preserve">Relatore nella camera di consiglio del giorno 15 dicembre 2016 il Cons. Pierfrancesco Ungari e uditi per le parti gli avvocati Marco Orlando, Alessio </w:t>
      </w:r>
      <w:proofErr w:type="spellStart"/>
      <w:r w:rsidRPr="00372F98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>Petretti</w:t>
      </w:r>
      <w:proofErr w:type="spellEnd"/>
      <w:r w:rsidRPr="00372F98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 xml:space="preserve"> su delega di Michele </w:t>
      </w:r>
      <w:proofErr w:type="spellStart"/>
      <w:r w:rsidRPr="00372F98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>Pezone</w:t>
      </w:r>
      <w:proofErr w:type="spellEnd"/>
      <w:r w:rsidRPr="00372F98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 xml:space="preserve"> e Claudio Chiola;</w:t>
      </w:r>
    </w:p>
    <w:p w:rsidR="00372F98" w:rsidRPr="00372F98" w:rsidRDefault="00372F98" w:rsidP="00372F98">
      <w:pPr>
        <w:spacing w:after="0" w:line="520" w:lineRule="atLeast"/>
        <w:jc w:val="both"/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</w:pPr>
      <w:r w:rsidRPr="00372F98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>Ritenuto che:</w:t>
      </w:r>
    </w:p>
    <w:p w:rsidR="00372F98" w:rsidRPr="00372F98" w:rsidRDefault="00372F98" w:rsidP="00372F98">
      <w:pPr>
        <w:spacing w:after="0" w:line="520" w:lineRule="atLeast"/>
        <w:jc w:val="both"/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</w:pPr>
      <w:r w:rsidRPr="00372F98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>- le considerazioni sul </w:t>
      </w:r>
      <w:proofErr w:type="spellStart"/>
      <w:r w:rsidRPr="00372F98">
        <w:rPr>
          <w:rFonts w:ascii="Garamond" w:eastAsia="Times New Roman" w:hAnsi="Garamond" w:cs="Times New Roman"/>
          <w:i/>
          <w:iCs/>
          <w:color w:val="000000"/>
          <w:sz w:val="30"/>
          <w:szCs w:val="30"/>
          <w:lang w:eastAsia="it-IT"/>
        </w:rPr>
        <w:t>Key</w:t>
      </w:r>
      <w:proofErr w:type="spellEnd"/>
      <w:r w:rsidRPr="00372F98">
        <w:rPr>
          <w:rFonts w:ascii="Garamond" w:eastAsia="Times New Roman" w:hAnsi="Garamond" w:cs="Times New Roman"/>
          <w:i/>
          <w:iCs/>
          <w:color w:val="000000"/>
          <w:sz w:val="30"/>
          <w:szCs w:val="30"/>
          <w:lang w:eastAsia="it-IT"/>
        </w:rPr>
        <w:t xml:space="preserve"> </w:t>
      </w:r>
      <w:proofErr w:type="spellStart"/>
      <w:r w:rsidRPr="00372F98">
        <w:rPr>
          <w:rFonts w:ascii="Garamond" w:eastAsia="Times New Roman" w:hAnsi="Garamond" w:cs="Times New Roman"/>
          <w:i/>
          <w:iCs/>
          <w:color w:val="000000"/>
          <w:sz w:val="30"/>
          <w:szCs w:val="30"/>
          <w:lang w:eastAsia="it-IT"/>
        </w:rPr>
        <w:t>Concepts</w:t>
      </w:r>
      <w:proofErr w:type="spellEnd"/>
      <w:r w:rsidRPr="00372F98">
        <w:rPr>
          <w:rFonts w:ascii="Garamond" w:eastAsia="Times New Roman" w:hAnsi="Garamond" w:cs="Times New Roman"/>
          <w:i/>
          <w:iCs/>
          <w:color w:val="000000"/>
          <w:sz w:val="30"/>
          <w:szCs w:val="30"/>
          <w:lang w:eastAsia="it-IT"/>
        </w:rPr>
        <w:t xml:space="preserve"> </w:t>
      </w:r>
      <w:proofErr w:type="spellStart"/>
      <w:r w:rsidRPr="00372F98">
        <w:rPr>
          <w:rFonts w:ascii="Garamond" w:eastAsia="Times New Roman" w:hAnsi="Garamond" w:cs="Times New Roman"/>
          <w:i/>
          <w:iCs/>
          <w:color w:val="000000"/>
          <w:sz w:val="30"/>
          <w:szCs w:val="30"/>
          <w:lang w:eastAsia="it-IT"/>
        </w:rPr>
        <w:t>document</w:t>
      </w:r>
      <w:proofErr w:type="spellEnd"/>
      <w:r w:rsidRPr="00372F98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 xml:space="preserve"> relativo alla direttiva 79/409/CEE, concernenti la </w:t>
      </w:r>
      <w:proofErr w:type="spellStart"/>
      <w:r w:rsidRPr="00372F98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>cacciabilità</w:t>
      </w:r>
      <w:proofErr w:type="spellEnd"/>
      <w:r w:rsidRPr="00372F98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 xml:space="preserve"> nel periodo di “sovrapposizione teorica” al periodo “sensibile” (di migrazione prenuziale e di riproduzione), così come la peculiarità della Regione Abruzzo (in ragione della forte incidenza di aree naturali protette, nelle quali è vietata l’attività venatoria), non possono impedire l’applicazione del principio di precauzione, anche se comportano l’esigenza di una motivazione specifica a supporto delle limitazioni che vengano imposte;</w:t>
      </w:r>
    </w:p>
    <w:p w:rsidR="00372F98" w:rsidRPr="00372F98" w:rsidRDefault="00372F98" w:rsidP="00372F98">
      <w:pPr>
        <w:spacing w:after="0" w:line="520" w:lineRule="atLeast"/>
        <w:jc w:val="both"/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</w:pPr>
      <w:r w:rsidRPr="00372F98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>- in questa prospettiva, le motivazioni addotte dalla Regione Abruzzo non appaiono idonee a superare le valutazioni espresse dall’ISPRA col parere prot. 40098 in data 5 luglio 2016;</w:t>
      </w:r>
    </w:p>
    <w:p w:rsidR="00372F98" w:rsidRPr="00372F98" w:rsidRDefault="00372F98" w:rsidP="00372F98">
      <w:pPr>
        <w:spacing w:after="0" w:line="520" w:lineRule="atLeast"/>
        <w:jc w:val="both"/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</w:pPr>
      <w:r w:rsidRPr="00372F98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>Ritenuto, pertanto, che:</w:t>
      </w:r>
    </w:p>
    <w:p w:rsidR="00372F98" w:rsidRPr="00372F98" w:rsidRDefault="00372F98" w:rsidP="00372F98">
      <w:pPr>
        <w:spacing w:after="0" w:line="520" w:lineRule="atLeast"/>
        <w:jc w:val="both"/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</w:pPr>
      <w:r w:rsidRPr="00372F98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>- riguardo al prolungamento della caccia alla specie </w:t>
      </w:r>
      <w:r w:rsidRPr="00372F98">
        <w:rPr>
          <w:rFonts w:ascii="Garamond" w:eastAsia="Times New Roman" w:hAnsi="Garamond" w:cs="Times New Roman"/>
          <w:i/>
          <w:iCs/>
          <w:color w:val="000000"/>
          <w:sz w:val="30"/>
          <w:szCs w:val="30"/>
          <w:lang w:eastAsia="it-IT"/>
        </w:rPr>
        <w:t>Beccaccia </w:t>
      </w:r>
      <w:r w:rsidRPr="00372F98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>oltre il 31 dicembre 2016 e fino al 19 gennaio 2017, le conclusioni del TAR si sottraggono alle censure dedotte;</w:t>
      </w:r>
    </w:p>
    <w:p w:rsidR="00372F98" w:rsidRPr="00372F98" w:rsidRDefault="00372F98" w:rsidP="00372F98">
      <w:pPr>
        <w:spacing w:after="0" w:line="520" w:lineRule="atLeast"/>
        <w:jc w:val="both"/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</w:pPr>
      <w:r w:rsidRPr="00372F98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lastRenderedPageBreak/>
        <w:t>- viceversa, riguardo al medesimo prolungamento riguardo alle altre specie in questione (</w:t>
      </w:r>
      <w:r w:rsidRPr="00372F98">
        <w:rPr>
          <w:rFonts w:ascii="Garamond" w:eastAsia="Times New Roman" w:hAnsi="Garamond" w:cs="Times New Roman"/>
          <w:i/>
          <w:iCs/>
          <w:color w:val="000000"/>
          <w:sz w:val="30"/>
          <w:szCs w:val="30"/>
          <w:lang w:eastAsia="it-IT"/>
        </w:rPr>
        <w:t>Cesena, Tordo bottaccio e Tordo sassello</w:t>
      </w:r>
      <w:r w:rsidRPr="00372F98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 xml:space="preserve">), il parere ISPRA indica una data di chiusura al 10 gennaio 2017, e pertanto l’appello cautelare può essere parzialmente accolto, limitatamente alla riduzione dell’effetto sospensivo del calendario venatorio impugnato, che di conseguenza riassume efficacia ai fini della </w:t>
      </w:r>
      <w:proofErr w:type="spellStart"/>
      <w:r w:rsidRPr="00372F98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>cacciabilità</w:t>
      </w:r>
      <w:proofErr w:type="spellEnd"/>
      <w:r w:rsidRPr="00372F98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 xml:space="preserve"> delle specie predette nel periodo 1° - 10 gennaio 2017;</w:t>
      </w:r>
    </w:p>
    <w:p w:rsidR="00372F98" w:rsidRPr="00372F98" w:rsidRDefault="00372F98" w:rsidP="00372F98">
      <w:pPr>
        <w:spacing w:after="0" w:line="540" w:lineRule="atLeast"/>
        <w:jc w:val="center"/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</w:pPr>
      <w:r w:rsidRPr="00372F98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>P.Q.M.</w:t>
      </w:r>
    </w:p>
    <w:p w:rsidR="00372F98" w:rsidRPr="00372F98" w:rsidRDefault="00372F98" w:rsidP="00372F98">
      <w:pPr>
        <w:spacing w:after="0" w:line="520" w:lineRule="atLeast"/>
        <w:jc w:val="both"/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</w:pPr>
      <w:r w:rsidRPr="00372F98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 xml:space="preserve">Il Consiglio di Stato in sede giurisdizionale (Sezione Terza) accoglie parzialmente l'appello cautelare (Ricorso numero: 8714/2016) e, per l'effetto, in parziale riforma dell'ordinanza impugnata, respinge l'istanza cautelare proposta in primo grado per quanto riguarda la </w:t>
      </w:r>
      <w:proofErr w:type="spellStart"/>
      <w:r w:rsidRPr="00372F98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>cacciabilità</w:t>
      </w:r>
      <w:proofErr w:type="spellEnd"/>
      <w:r w:rsidRPr="00372F98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 xml:space="preserve"> delle specie </w:t>
      </w:r>
      <w:r w:rsidRPr="00372F98">
        <w:rPr>
          <w:rFonts w:ascii="Garamond" w:eastAsia="Times New Roman" w:hAnsi="Garamond" w:cs="Times New Roman"/>
          <w:i/>
          <w:iCs/>
          <w:color w:val="000000"/>
          <w:sz w:val="30"/>
          <w:szCs w:val="30"/>
          <w:lang w:eastAsia="it-IT"/>
        </w:rPr>
        <w:t>Cesena, Tordo bottaccio </w:t>
      </w:r>
      <w:r w:rsidRPr="00372F98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>e </w:t>
      </w:r>
      <w:r w:rsidRPr="00372F98">
        <w:rPr>
          <w:rFonts w:ascii="Garamond" w:eastAsia="Times New Roman" w:hAnsi="Garamond" w:cs="Times New Roman"/>
          <w:i/>
          <w:iCs/>
          <w:color w:val="000000"/>
          <w:sz w:val="30"/>
          <w:szCs w:val="30"/>
          <w:lang w:eastAsia="it-IT"/>
        </w:rPr>
        <w:t>Tordo sassello</w:t>
      </w:r>
      <w:r w:rsidRPr="00372F98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 xml:space="preserve"> dal 1° al 10 gennaio 2017, ferma restando la sospensione dell’efficacia del calendario venatorio riguardo alla </w:t>
      </w:r>
      <w:proofErr w:type="spellStart"/>
      <w:r w:rsidRPr="00372F98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>cacciabilità</w:t>
      </w:r>
      <w:proofErr w:type="spellEnd"/>
      <w:r w:rsidRPr="00372F98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 xml:space="preserve"> di dette specie dopo la data del 10 gennaio 2017 e della specie </w:t>
      </w:r>
      <w:r w:rsidRPr="00372F98">
        <w:rPr>
          <w:rFonts w:ascii="Garamond" w:eastAsia="Times New Roman" w:hAnsi="Garamond" w:cs="Times New Roman"/>
          <w:i/>
          <w:iCs/>
          <w:color w:val="000000"/>
          <w:sz w:val="30"/>
          <w:szCs w:val="30"/>
          <w:lang w:eastAsia="it-IT"/>
        </w:rPr>
        <w:t>Beccaccia</w:t>
      </w:r>
      <w:r w:rsidRPr="00372F98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> oltre la data del 31 dicembre 2016.</w:t>
      </w:r>
    </w:p>
    <w:p w:rsidR="00372F98" w:rsidRPr="00372F98" w:rsidRDefault="00372F98" w:rsidP="00372F98">
      <w:pPr>
        <w:spacing w:after="0" w:line="520" w:lineRule="atLeast"/>
        <w:jc w:val="both"/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</w:pPr>
      <w:r w:rsidRPr="00372F98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>Spese compensate.</w:t>
      </w:r>
    </w:p>
    <w:p w:rsidR="00372F98" w:rsidRPr="00372F98" w:rsidRDefault="00372F98" w:rsidP="00372F98">
      <w:pPr>
        <w:spacing w:after="0" w:line="520" w:lineRule="atLeast"/>
        <w:jc w:val="both"/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</w:pPr>
      <w:r w:rsidRPr="00372F98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>La presente ordinanza sarà eseguita dall'Amministrazione ed è depositata presso la segreteria della Sezione che provvederà a darne comunicazione alle parti.</w:t>
      </w:r>
    </w:p>
    <w:p w:rsidR="00372F98" w:rsidRDefault="00372F98" w:rsidP="00372F98">
      <w:pPr>
        <w:spacing w:after="0" w:line="520" w:lineRule="atLeast"/>
        <w:jc w:val="both"/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</w:pPr>
      <w:r w:rsidRPr="00372F98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>Così deciso in Roma nella camera di consiglio del giorno 15 dicembre 2016 con l'intervento dei magistrati:</w:t>
      </w:r>
    </w:p>
    <w:p w:rsidR="008A4842" w:rsidRPr="00372F98" w:rsidRDefault="008A4842" w:rsidP="00372F98">
      <w:pPr>
        <w:spacing w:after="0" w:line="520" w:lineRule="atLeast"/>
        <w:jc w:val="both"/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</w:pPr>
    </w:p>
    <w:p w:rsidR="00372F98" w:rsidRPr="00372F98" w:rsidRDefault="00372F98" w:rsidP="008A4842">
      <w:pPr>
        <w:spacing w:after="0" w:line="240" w:lineRule="auto"/>
        <w:ind w:firstLine="567"/>
        <w:jc w:val="center"/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</w:pPr>
      <w:r w:rsidRPr="00372F98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>Marco Lipari, Presidente</w:t>
      </w:r>
    </w:p>
    <w:p w:rsidR="00372F98" w:rsidRPr="00372F98" w:rsidRDefault="00372F98" w:rsidP="008A4842">
      <w:pPr>
        <w:spacing w:after="0" w:line="240" w:lineRule="auto"/>
        <w:ind w:firstLine="567"/>
        <w:jc w:val="center"/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</w:pPr>
      <w:r w:rsidRPr="00372F98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>Carlo Deodato, Consigliere</w:t>
      </w:r>
    </w:p>
    <w:p w:rsidR="00372F98" w:rsidRPr="00372F98" w:rsidRDefault="00372F98" w:rsidP="008A4842">
      <w:pPr>
        <w:spacing w:after="0" w:line="240" w:lineRule="auto"/>
        <w:ind w:firstLine="567"/>
        <w:jc w:val="center"/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</w:pPr>
      <w:r w:rsidRPr="00372F98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 xml:space="preserve">Manfredo </w:t>
      </w:r>
      <w:proofErr w:type="spellStart"/>
      <w:r w:rsidRPr="00372F98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>Atzeni</w:t>
      </w:r>
      <w:proofErr w:type="spellEnd"/>
      <w:r w:rsidRPr="00372F98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>, Consigliere</w:t>
      </w:r>
    </w:p>
    <w:p w:rsidR="00372F98" w:rsidRPr="00372F98" w:rsidRDefault="00372F98" w:rsidP="008A4842">
      <w:pPr>
        <w:spacing w:after="0" w:line="240" w:lineRule="auto"/>
        <w:ind w:firstLine="567"/>
        <w:jc w:val="center"/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</w:pPr>
      <w:r w:rsidRPr="00372F98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>Pierfrancesco Ungari, Consigliere, Estensore</w:t>
      </w:r>
    </w:p>
    <w:p w:rsidR="00372F98" w:rsidRPr="00372F98" w:rsidRDefault="00372F98" w:rsidP="008A4842">
      <w:pPr>
        <w:spacing w:after="0" w:line="240" w:lineRule="auto"/>
        <w:ind w:firstLine="567"/>
        <w:jc w:val="center"/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</w:pPr>
      <w:r w:rsidRPr="00372F98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>Raffaello Sestini, Consigliere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2"/>
        <w:gridCol w:w="72"/>
        <w:gridCol w:w="4394"/>
      </w:tblGrid>
      <w:tr w:rsidR="00372F98" w:rsidRPr="00372F98" w:rsidTr="00372F98">
        <w:tc>
          <w:tcPr>
            <w:tcW w:w="0" w:type="auto"/>
            <w:vAlign w:val="center"/>
            <w:hideMark/>
          </w:tcPr>
          <w:p w:rsidR="00372F98" w:rsidRPr="00372F98" w:rsidRDefault="00372F98" w:rsidP="0037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37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72F98" w:rsidRPr="00372F98" w:rsidRDefault="00372F98" w:rsidP="0037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372F98" w:rsidRPr="00372F98" w:rsidRDefault="00372F98" w:rsidP="0037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72F98" w:rsidRPr="00372F98" w:rsidTr="00372F98">
        <w:tc>
          <w:tcPr>
            <w:tcW w:w="0" w:type="auto"/>
            <w:vAlign w:val="center"/>
            <w:hideMark/>
          </w:tcPr>
          <w:p w:rsidR="00372F98" w:rsidRPr="00372F98" w:rsidRDefault="00372F98" w:rsidP="0037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37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t>L'ESTENSORE</w:t>
            </w:r>
          </w:p>
        </w:tc>
        <w:tc>
          <w:tcPr>
            <w:tcW w:w="0" w:type="auto"/>
            <w:vAlign w:val="center"/>
            <w:hideMark/>
          </w:tcPr>
          <w:p w:rsidR="00372F98" w:rsidRPr="00372F98" w:rsidRDefault="00372F98" w:rsidP="0037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372F98" w:rsidRPr="00372F98" w:rsidRDefault="00372F98" w:rsidP="0037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37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t>IL PRESIDENTE</w:t>
            </w:r>
          </w:p>
        </w:tc>
      </w:tr>
      <w:tr w:rsidR="00372F98" w:rsidRPr="00372F98" w:rsidTr="00372F98">
        <w:tc>
          <w:tcPr>
            <w:tcW w:w="0" w:type="auto"/>
            <w:vAlign w:val="center"/>
            <w:hideMark/>
          </w:tcPr>
          <w:p w:rsidR="00372F98" w:rsidRPr="00372F98" w:rsidRDefault="00372F98" w:rsidP="0037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37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t>Pierfrancesco Ungari</w:t>
            </w:r>
          </w:p>
        </w:tc>
        <w:tc>
          <w:tcPr>
            <w:tcW w:w="0" w:type="auto"/>
            <w:vAlign w:val="center"/>
            <w:hideMark/>
          </w:tcPr>
          <w:p w:rsidR="00372F98" w:rsidRPr="00372F98" w:rsidRDefault="00372F98" w:rsidP="0037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372F98" w:rsidRPr="00372F98" w:rsidRDefault="00372F98" w:rsidP="0037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37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t>Marco Lipari</w:t>
            </w:r>
          </w:p>
        </w:tc>
      </w:tr>
      <w:tr w:rsidR="008A4842" w:rsidRPr="00372F98" w:rsidTr="008A4842">
        <w:tc>
          <w:tcPr>
            <w:tcW w:w="0" w:type="auto"/>
            <w:gridSpan w:val="3"/>
            <w:vAlign w:val="center"/>
          </w:tcPr>
          <w:p w:rsidR="008A4842" w:rsidRPr="008A4842" w:rsidRDefault="008A4842" w:rsidP="0037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  <w:r w:rsidRPr="008A48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  <w:t>IL SEGRETARIO</w:t>
            </w:r>
          </w:p>
        </w:tc>
      </w:tr>
    </w:tbl>
    <w:p w:rsidR="008C3278" w:rsidRDefault="00EA7D20" w:rsidP="008A4842"/>
    <w:sectPr w:rsidR="008C32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F98"/>
    <w:rsid w:val="00372F98"/>
    <w:rsid w:val="006A2A03"/>
    <w:rsid w:val="008A4842"/>
    <w:rsid w:val="008D67D1"/>
    <w:rsid w:val="00EA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97A394-F873-4850-BA32-B3678803E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epubblica">
    <w:name w:val="repubblica"/>
    <w:basedOn w:val="Normale"/>
    <w:rsid w:val="00372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ezione">
    <w:name w:val="sezione"/>
    <w:basedOn w:val="Normale"/>
    <w:rsid w:val="00372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ula">
    <w:name w:val="tabula"/>
    <w:basedOn w:val="Normale"/>
    <w:rsid w:val="00372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opolo">
    <w:name w:val="popolo"/>
    <w:basedOn w:val="Normale"/>
    <w:rsid w:val="00372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ntro">
    <w:name w:val="contro"/>
    <w:basedOn w:val="Normale"/>
    <w:rsid w:val="00372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372F98"/>
  </w:style>
  <w:style w:type="paragraph" w:customStyle="1" w:styleId="fatto">
    <w:name w:val="fatto"/>
    <w:basedOn w:val="Normale"/>
    <w:rsid w:val="00372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1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Luca</cp:lastModifiedBy>
  <cp:revision>2</cp:revision>
  <dcterms:created xsi:type="dcterms:W3CDTF">2016-12-16T14:18:00Z</dcterms:created>
  <dcterms:modified xsi:type="dcterms:W3CDTF">2016-12-16T14:18:00Z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-1219098611</vt:i4>
  </property>
  <property fmtid="{D5CDD505-2E9C-101B-9397-08002B2CF9AE}" pid="3" name="_NewReviewCycle">
    <vt:lpwstr/>
  </property>
  <property fmtid="{D5CDD505-2E9C-101B-9397-08002B2CF9AE}" pid="4" name="_EmailSubject">
    <vt:lpwstr>comunicato definitivo</vt:lpwstr>
  </property>
  <property fmtid="{D5CDD505-2E9C-101B-9397-08002B2CF9AE}" pid="5" name="_AuthorEmail">
    <vt:lpwstr>segreteria@arcicaccianazionale.it</vt:lpwstr>
  </property>
  <property fmtid="{D5CDD505-2E9C-101B-9397-08002B2CF9AE}" pid="6" name="_AuthorEmailDisplayName">
    <vt:lpwstr>SEGRETERIA ARCI CACCIA NAZIONALE</vt:lpwstr>
  </property>
  <property fmtid="{D5CDD505-2E9C-101B-9397-08002B2CF9AE}" pid="7" name="_ReviewingToolsShownOnce">
    <vt:lpwstr/>
  </property>
</Properties>
</file>